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FF70C" w14:textId="6A5319E2" w:rsidR="00DF1BF1" w:rsidRPr="00DF1BF1" w:rsidRDefault="00DF1BF1" w:rsidP="00DF1BF1">
      <w:pPr>
        <w:jc w:val="both"/>
        <w:rPr>
          <w:lang w:val="en-GB"/>
        </w:rPr>
      </w:pPr>
      <w:r w:rsidRPr="00DF1BF1">
        <w:rPr>
          <w:lang w:val="en-GB"/>
        </w:rPr>
        <w:t>Th</w:t>
      </w:r>
      <w:bookmarkStart w:id="0" w:name="_GoBack"/>
      <w:bookmarkEnd w:id="0"/>
      <w:r w:rsidRPr="00DF1BF1">
        <w:rPr>
          <w:lang w:val="en-GB"/>
        </w:rPr>
        <w:t xml:space="preserve">e concept of green consumer </w:t>
      </w:r>
      <w:r w:rsidR="00883B3F" w:rsidRPr="00DF1BF1">
        <w:rPr>
          <w:lang w:val="en-GB"/>
        </w:rPr>
        <w:t>behaviour</w:t>
      </w:r>
      <w:r w:rsidRPr="00DF1BF1">
        <w:rPr>
          <w:lang w:val="en-GB"/>
        </w:rPr>
        <w:t xml:space="preserve"> has emerged as a critical area of global environmental challenges, such as climate change, resource depletion, and pollution. Green consumer behaviour refers to the purchasing and consumption patterns of individuals who prioritize environmentally friendly products and services, aiming to minimize their ecological [1]. The growing urgency of environmental challenges has intensified research into green consumer </w:t>
      </w:r>
      <w:r w:rsidR="00883B3F" w:rsidRPr="00DF1BF1">
        <w:rPr>
          <w:lang w:val="en-GB"/>
        </w:rPr>
        <w:t>behaviour</w:t>
      </w:r>
      <w:r w:rsidRPr="00DF1BF1">
        <w:rPr>
          <w:lang w:val="en-GB"/>
        </w:rPr>
        <w:t xml:space="preserve">, yet significant gaps remain in understanding how economic factors influence sustainable consumption patterns, particularly in emerging markets. This study assessed the impact of economic constraints and financial incentives on green consumer </w:t>
      </w:r>
      <w:r w:rsidR="00883B3F" w:rsidRPr="00DF1BF1">
        <w:rPr>
          <w:lang w:val="en-GB"/>
        </w:rPr>
        <w:t>behaviour</w:t>
      </w:r>
      <w:r w:rsidRPr="00DF1BF1">
        <w:rPr>
          <w:lang w:val="en-GB"/>
        </w:rPr>
        <w:t xml:space="preserve"> among Nigerian consumers within the theoretical framework of the Theory of Planned </w:t>
      </w:r>
      <w:r w:rsidR="00883B3F" w:rsidRPr="00DF1BF1">
        <w:rPr>
          <w:lang w:val="en-GB"/>
        </w:rPr>
        <w:t>Behaviour</w:t>
      </w:r>
      <w:r w:rsidRPr="00DF1BF1">
        <w:rPr>
          <w:lang w:val="en-GB"/>
        </w:rPr>
        <w:t>.</w:t>
      </w:r>
    </w:p>
    <w:p w14:paraId="6FF57760" w14:textId="77777777" w:rsidR="00DF1BF1" w:rsidRPr="00DF1BF1" w:rsidRDefault="00DF1BF1" w:rsidP="00DF1BF1">
      <w:pPr>
        <w:jc w:val="both"/>
        <w:rPr>
          <w:lang w:val="en-GB"/>
        </w:rPr>
      </w:pPr>
      <w:r w:rsidRPr="00DF1BF1">
        <w:rPr>
          <w:lang w:val="en-GB"/>
        </w:rPr>
        <w:t>Green consumer behaviour refers to the purchasing decisions and consumption patterns of individuals that prioritize environmental sustainability [2]. This concept encompasses a wide array of actions, including the preference for eco-friendly products, reducing waste, recycling, and supporting companies with sustainable practices [3]. From a socio-economic perspective, green consumer behaviour fosters market demand for sustainable products, encouraging businesses to innovate and develop environmentally friendly offerings [4].</w:t>
      </w:r>
    </w:p>
    <w:p w14:paraId="36F18CEB" w14:textId="452008CC" w:rsidR="00DF1BF1" w:rsidRPr="00DF1BF1" w:rsidRDefault="00DF1BF1" w:rsidP="00DF1BF1">
      <w:pPr>
        <w:jc w:val="both"/>
        <w:rPr>
          <w:lang w:val="en-GB"/>
        </w:rPr>
      </w:pPr>
      <w:r w:rsidRPr="00DF1BF1">
        <w:rPr>
          <w:lang w:val="en-GB"/>
        </w:rPr>
        <w:t xml:space="preserve">A quantitative cross-sectional survey design was employed, targeting consumers aged 18 years and above in Lagos State's food and beverage industry. Using Cochran's formula for infinite populations, a sample size of 384 was determined, with 362 valid questionnaires returned (94.27% response rate). Data were collected through structured questionnaires measuring economic constraints and financial incentives (8 items, </w:t>
      </w:r>
      <w:r w:rsidRPr="00DF1BF1">
        <w:t>α</w:t>
      </w:r>
      <w:r w:rsidRPr="00DF1BF1">
        <w:rPr>
          <w:lang w:val="en-GB"/>
        </w:rPr>
        <w:t xml:space="preserve"> = 0.812) and green consumer </w:t>
      </w:r>
      <w:r w:rsidR="00883B3F" w:rsidRPr="00DF1BF1">
        <w:rPr>
          <w:lang w:val="en-GB"/>
        </w:rPr>
        <w:t>behaviour</w:t>
      </w:r>
      <w:r w:rsidRPr="00DF1BF1">
        <w:rPr>
          <w:lang w:val="en-GB"/>
        </w:rPr>
        <w:t xml:space="preserve"> (9 items, </w:t>
      </w:r>
      <w:r w:rsidRPr="00DF1BF1">
        <w:t>α</w:t>
      </w:r>
      <w:r w:rsidRPr="00DF1BF1">
        <w:rPr>
          <w:lang w:val="en-GB"/>
        </w:rPr>
        <w:t xml:space="preserve"> = 0.863). Statistical analysis included descriptive statistics, correlation analysis, and multiple regression using SPSS. The regression analysis revealed a moderately strong positive correlation (r = 0.587, p &lt; 0.001) between economic and financial factors and green consumer </w:t>
      </w:r>
      <w:r w:rsidR="00883B3F" w:rsidRPr="00DF1BF1">
        <w:rPr>
          <w:lang w:val="en-GB"/>
        </w:rPr>
        <w:t>behaviour</w:t>
      </w:r>
      <w:r w:rsidRPr="00DF1BF1">
        <w:rPr>
          <w:lang w:val="en-GB"/>
        </w:rPr>
        <w:t xml:space="preserve">. Economic constraints and financial incentives significantly predicted green consumer </w:t>
      </w:r>
      <w:r w:rsidR="00883B3F" w:rsidRPr="00DF1BF1">
        <w:rPr>
          <w:lang w:val="en-GB"/>
        </w:rPr>
        <w:t>behaviour</w:t>
      </w:r>
      <w:r w:rsidRPr="00DF1BF1">
        <w:rPr>
          <w:lang w:val="en-GB"/>
        </w:rPr>
        <w:t xml:space="preserve"> (</w:t>
      </w:r>
      <w:r w:rsidRPr="00DF1BF1">
        <w:t>β</w:t>
      </w:r>
      <w:r w:rsidRPr="00DF1BF1">
        <w:rPr>
          <w:lang w:val="en-GB"/>
        </w:rPr>
        <w:t xml:space="preserve"> = 0.654, t = 13.147, p &lt; 0.001), explaining 34.4% of the variance (R² = 0.344, F = 172.764, p &lt; 0.001). The findings strongly rejected the null hypothesis, confirming that economic factors significantly influence sustainable consumption decisions. Economic accessibility emerged as a critical determinant of green consumer </w:t>
      </w:r>
      <w:r w:rsidR="00883B3F" w:rsidRPr="00DF1BF1">
        <w:rPr>
          <w:lang w:val="en-GB"/>
        </w:rPr>
        <w:t>behaviour</w:t>
      </w:r>
      <w:r w:rsidRPr="00DF1BF1">
        <w:rPr>
          <w:lang w:val="en-GB"/>
        </w:rPr>
        <w:t xml:space="preserve"> in the Nigerian context, highlighting the importance of financial considerations in sustainable consumption decisions. The study extends the Theory of Planned </w:t>
      </w:r>
      <w:r w:rsidR="00883B3F" w:rsidRPr="00DF1BF1">
        <w:rPr>
          <w:lang w:val="en-GB"/>
        </w:rPr>
        <w:t>Behaviour</w:t>
      </w:r>
      <w:r w:rsidRPr="00DF1BF1">
        <w:rPr>
          <w:lang w:val="en-GB"/>
        </w:rPr>
        <w:t xml:space="preserve"> by demonstrating how perceived </w:t>
      </w:r>
      <w:r w:rsidR="00883B3F" w:rsidRPr="00DF1BF1">
        <w:rPr>
          <w:lang w:val="en-GB"/>
        </w:rPr>
        <w:t>behavioural</w:t>
      </w:r>
      <w:r w:rsidRPr="00DF1BF1">
        <w:rPr>
          <w:lang w:val="en-GB"/>
        </w:rPr>
        <w:t xml:space="preserve"> control, particularly financial capacity, plays a crucial role in translating environmental awareness into actual purchasing </w:t>
      </w:r>
      <w:r w:rsidR="00883B3F" w:rsidRPr="00DF1BF1">
        <w:rPr>
          <w:lang w:val="en-GB"/>
        </w:rPr>
        <w:t>behaviour</w:t>
      </w:r>
      <w:r w:rsidRPr="00DF1BF1">
        <w:rPr>
          <w:lang w:val="en-GB"/>
        </w:rPr>
        <w:t xml:space="preserve"> in emerging economies. This finding underscores the necessity of situating consumer behaviour research within socio-economic realities, especially in emerging economies like Nigeria where income disparities and cost sensitivity strongly influence market behaviour. </w:t>
      </w:r>
    </w:p>
    <w:p w14:paraId="6BB7F4B3" w14:textId="77777777" w:rsidR="00DF1BF1" w:rsidRPr="00DF1BF1" w:rsidRDefault="00DF1BF1" w:rsidP="00DF1BF1">
      <w:pPr>
        <w:jc w:val="both"/>
        <w:rPr>
          <w:lang w:val="en-GB"/>
        </w:rPr>
      </w:pPr>
      <w:r w:rsidRPr="00DF1BF1">
        <w:rPr>
          <w:lang w:val="en-GB"/>
        </w:rPr>
        <w:t>Based on the findings and conclusions, the following recommendations are proposed:</w:t>
      </w:r>
    </w:p>
    <w:p w14:paraId="0B33755C" w14:textId="77777777" w:rsidR="00DF1BF1" w:rsidRPr="00DF1BF1" w:rsidRDefault="00DF1BF1" w:rsidP="00DF1BF1">
      <w:pPr>
        <w:numPr>
          <w:ilvl w:val="0"/>
          <w:numId w:val="5"/>
        </w:numPr>
        <w:spacing w:after="200"/>
        <w:jc w:val="both"/>
        <w:rPr>
          <w:lang w:val="en-GB"/>
        </w:rPr>
      </w:pPr>
      <w:r w:rsidRPr="00DF1BF1">
        <w:rPr>
          <w:lang w:val="en-GB"/>
        </w:rPr>
        <w:t>Government should design and implement subsidies, tax rebates, and price support schemes to reduce the cost of eco-friendly products. By lowering the financial barriers to green consumption, policymakers can significantly enhance consumer participation in sustainable markets.</w:t>
      </w:r>
    </w:p>
    <w:p w14:paraId="1D6CEC96" w14:textId="6F17E48A" w:rsidR="00DF1BF1" w:rsidRPr="00DF1BF1" w:rsidRDefault="00DF1BF1" w:rsidP="00DF1BF1">
      <w:pPr>
        <w:numPr>
          <w:ilvl w:val="0"/>
          <w:numId w:val="5"/>
        </w:numPr>
        <w:spacing w:after="200"/>
        <w:jc w:val="both"/>
        <w:rPr>
          <w:lang w:val="en-GB"/>
        </w:rPr>
      </w:pPr>
      <w:r w:rsidRPr="00DF1BF1">
        <w:rPr>
          <w:lang w:val="en-GB"/>
        </w:rPr>
        <w:t>Firms in the food and beverage industry should prioritize cost-effective production and distribution of eco-friendly alternatives. Economies of scale, local sourcing of raw materials, and innovative supply chain strategies can help reduce production costs and make green products more competitively priced.</w:t>
      </w:r>
    </w:p>
    <w:p w14:paraId="424E8743" w14:textId="43D597E2" w:rsidR="00DF1BF1" w:rsidRPr="00DF1BF1" w:rsidRDefault="00EB1F49" w:rsidP="00DF1BF1">
      <w:pPr>
        <w:pBdr>
          <w:top w:val="nil"/>
          <w:left w:val="nil"/>
          <w:bottom w:val="nil"/>
          <w:right w:val="nil"/>
          <w:between w:val="nil"/>
        </w:pBdr>
        <w:shd w:val="clear" w:color="auto" w:fill="FFFFFF"/>
        <w:jc w:val="center"/>
        <w:rPr>
          <w:color w:val="000000"/>
          <w:lang w:val="en-GB"/>
        </w:rPr>
      </w:pPr>
      <w:r w:rsidRPr="00DF1BF1">
        <w:rPr>
          <w:b/>
          <w:color w:val="000000"/>
          <w:lang w:val="en-GB"/>
        </w:rPr>
        <w:t>References</w:t>
      </w:r>
    </w:p>
    <w:p w14:paraId="43E869E7" w14:textId="77777777" w:rsidR="008E367D" w:rsidRPr="00DF1BF1" w:rsidRDefault="008E367D" w:rsidP="005C3AFC">
      <w:pPr>
        <w:pStyle w:val="a5"/>
        <w:numPr>
          <w:ilvl w:val="0"/>
          <w:numId w:val="7"/>
        </w:numPr>
        <w:jc w:val="both"/>
        <w:rPr>
          <w:lang w:val="en-GB"/>
        </w:rPr>
      </w:pPr>
      <w:r w:rsidRPr="00DF1BF1">
        <w:rPr>
          <w:lang w:val="en-GB"/>
        </w:rPr>
        <w:t>Ahmad W.  Zhang Q. Green purchase intention: Effects of electronic service quality and customer green psychology //Journal of Cleaner Production, 2020. Vol. 267, 122053.</w:t>
      </w:r>
    </w:p>
    <w:p w14:paraId="4633A60C" w14:textId="77777777" w:rsidR="008E367D" w:rsidRPr="00DF1BF1" w:rsidRDefault="008E367D" w:rsidP="005C3AFC">
      <w:pPr>
        <w:pStyle w:val="a5"/>
        <w:numPr>
          <w:ilvl w:val="0"/>
          <w:numId w:val="7"/>
        </w:numPr>
        <w:jc w:val="both"/>
      </w:pPr>
      <w:r w:rsidRPr="00DF1BF1">
        <w:rPr>
          <w:lang w:val="en-GB"/>
        </w:rPr>
        <w:t xml:space="preserve">Ahmed N., Li C. Khan A., </w:t>
      </w:r>
      <w:proofErr w:type="spellStart"/>
      <w:r w:rsidRPr="00DF1BF1">
        <w:rPr>
          <w:lang w:val="en-GB"/>
        </w:rPr>
        <w:t>Qalati</w:t>
      </w:r>
      <w:proofErr w:type="spellEnd"/>
      <w:r w:rsidRPr="00DF1BF1">
        <w:rPr>
          <w:lang w:val="en-GB"/>
        </w:rPr>
        <w:t xml:space="preserve"> S. A., Naz S., Rana, F. Purchase intention toward organic food among young consumers using theory of planned </w:t>
      </w:r>
      <w:proofErr w:type="spellStart"/>
      <w:r w:rsidRPr="00DF1BF1">
        <w:rPr>
          <w:lang w:val="en-GB"/>
        </w:rPr>
        <w:t>behavior</w:t>
      </w:r>
      <w:proofErr w:type="spellEnd"/>
      <w:r w:rsidRPr="00DF1BF1">
        <w:rPr>
          <w:lang w:val="en-GB"/>
        </w:rPr>
        <w:t xml:space="preserve">: Role of environmental concerns and environmental awareness. </w:t>
      </w:r>
      <w:r w:rsidRPr="00DF1BF1">
        <w:t>Journal of Environmental Planning and Management</w:t>
      </w:r>
      <w:r w:rsidRPr="00DF1BF1">
        <w:rPr>
          <w:i/>
          <w:iCs/>
        </w:rPr>
        <w:t xml:space="preserve"> </w:t>
      </w:r>
      <w:r w:rsidRPr="00DF1BF1">
        <w:t>2020. Vol. 64, No. 5, Pp. 796–822.</w:t>
      </w:r>
    </w:p>
    <w:p w14:paraId="4676001D" w14:textId="77777777" w:rsidR="008E367D" w:rsidRPr="00DF1BF1" w:rsidRDefault="008E367D" w:rsidP="005C3AFC">
      <w:pPr>
        <w:pStyle w:val="a5"/>
        <w:numPr>
          <w:ilvl w:val="0"/>
          <w:numId w:val="7"/>
        </w:numPr>
        <w:jc w:val="both"/>
        <w:rPr>
          <w:lang w:val="en-GB"/>
        </w:rPr>
      </w:pPr>
      <w:proofErr w:type="spellStart"/>
      <w:r w:rsidRPr="00DF1BF1">
        <w:rPr>
          <w:lang w:val="en-GB"/>
        </w:rPr>
        <w:lastRenderedPageBreak/>
        <w:t>Ajzen</w:t>
      </w:r>
      <w:proofErr w:type="spellEnd"/>
      <w:r w:rsidRPr="00DF1BF1">
        <w:rPr>
          <w:lang w:val="en-GB"/>
        </w:rPr>
        <w:t xml:space="preserve"> I. The theory of planned </w:t>
      </w:r>
      <w:proofErr w:type="spellStart"/>
      <w:r w:rsidRPr="00DF1BF1">
        <w:rPr>
          <w:lang w:val="en-GB"/>
        </w:rPr>
        <w:t>behavior</w:t>
      </w:r>
      <w:proofErr w:type="spellEnd"/>
      <w:r w:rsidRPr="00DF1BF1">
        <w:rPr>
          <w:lang w:val="en-GB"/>
        </w:rPr>
        <w:t>: Reactions and reflections // Psychology &amp; Health, 2011. Vol. 26 No. 9, Pp. 1113–1127.</w:t>
      </w:r>
    </w:p>
    <w:p w14:paraId="37EF25A3" w14:textId="77777777" w:rsidR="008E367D" w:rsidRPr="00DF1BF1" w:rsidRDefault="008E367D" w:rsidP="005C3AFC">
      <w:pPr>
        <w:pStyle w:val="a5"/>
        <w:numPr>
          <w:ilvl w:val="0"/>
          <w:numId w:val="7"/>
        </w:numPr>
        <w:jc w:val="both"/>
        <w:rPr>
          <w:lang w:val="en-GB"/>
        </w:rPr>
      </w:pPr>
      <w:proofErr w:type="spellStart"/>
      <w:r w:rsidRPr="00DF1BF1">
        <w:rPr>
          <w:lang w:val="en-GB"/>
        </w:rPr>
        <w:t>Dangelico</w:t>
      </w:r>
      <w:proofErr w:type="spellEnd"/>
      <w:r w:rsidRPr="00DF1BF1">
        <w:rPr>
          <w:lang w:val="en-GB"/>
        </w:rPr>
        <w:t xml:space="preserve"> R. M., </w:t>
      </w:r>
      <w:proofErr w:type="spellStart"/>
      <w:r w:rsidRPr="00DF1BF1">
        <w:rPr>
          <w:lang w:val="en-GB"/>
        </w:rPr>
        <w:t>Nonino</w:t>
      </w:r>
      <w:proofErr w:type="spellEnd"/>
      <w:r w:rsidRPr="00DF1BF1">
        <w:rPr>
          <w:lang w:val="en-GB"/>
        </w:rPr>
        <w:t xml:space="preserve"> F., Pompei A. Which are the determinants of green purchase behaviour? A study of Italian consumers // Business Strategy and the Environment</w:t>
      </w:r>
      <w:r w:rsidRPr="00DF1BF1">
        <w:rPr>
          <w:i/>
          <w:iCs/>
          <w:lang w:val="en-GB"/>
        </w:rPr>
        <w:t xml:space="preserve">, </w:t>
      </w:r>
      <w:r w:rsidRPr="00DF1BF1">
        <w:rPr>
          <w:lang w:val="en-GB"/>
        </w:rPr>
        <w:t>2020. Vol. 30</w:t>
      </w:r>
      <w:r w:rsidRPr="00DF1BF1">
        <w:rPr>
          <w:i/>
          <w:iCs/>
          <w:lang w:val="en-GB"/>
        </w:rPr>
        <w:t xml:space="preserve"> </w:t>
      </w:r>
      <w:r w:rsidRPr="00DF1BF1">
        <w:rPr>
          <w:lang w:val="en-GB"/>
        </w:rPr>
        <w:t xml:space="preserve">No. 6, Pp. 2600–2620. </w:t>
      </w:r>
    </w:p>
    <w:p w14:paraId="327A193E" w14:textId="77777777" w:rsidR="00DF1BF1" w:rsidRPr="00DF1BF1" w:rsidRDefault="00DF1BF1" w:rsidP="00DF1BF1">
      <w:pPr>
        <w:jc w:val="both"/>
      </w:pPr>
    </w:p>
    <w:p w14:paraId="1127335F" w14:textId="77777777" w:rsidR="00DF1BF1" w:rsidRPr="00DF1BF1" w:rsidRDefault="00DF1BF1" w:rsidP="00DF1BF1">
      <w:pPr>
        <w:jc w:val="both"/>
        <w:rPr>
          <w:b/>
          <w:bCs/>
        </w:rPr>
      </w:pPr>
    </w:p>
    <w:p w14:paraId="27EA80CE" w14:textId="77777777" w:rsidR="00DF1BF1" w:rsidRPr="00DF1BF1" w:rsidRDefault="00DF1BF1" w:rsidP="00DF1BF1">
      <w:pPr>
        <w:jc w:val="both"/>
      </w:pPr>
    </w:p>
    <w:p w14:paraId="6A5C28A3" w14:textId="77777777" w:rsidR="00DF1BF1" w:rsidRPr="00DF1BF1" w:rsidRDefault="00DF1BF1" w:rsidP="00DF1BF1">
      <w:pPr>
        <w:jc w:val="both"/>
      </w:pPr>
    </w:p>
    <w:p w14:paraId="6C8FF231" w14:textId="77777777" w:rsidR="00DF1BF1" w:rsidRPr="00DF1BF1" w:rsidRDefault="00DF1BF1" w:rsidP="00DF1BF1">
      <w:pPr>
        <w:jc w:val="center"/>
        <w:rPr>
          <w:b/>
        </w:rPr>
      </w:pPr>
    </w:p>
    <w:p w14:paraId="694B411A" w14:textId="77777777" w:rsidR="00DF1BF1" w:rsidRPr="00DF1BF1" w:rsidRDefault="00DF1BF1" w:rsidP="00DF1BF1">
      <w:pPr>
        <w:jc w:val="center"/>
        <w:rPr>
          <w:b/>
        </w:rPr>
      </w:pPr>
    </w:p>
    <w:p w14:paraId="070D73AA" w14:textId="77777777" w:rsidR="00DF1BF1" w:rsidRPr="00DF1BF1" w:rsidRDefault="00DF1BF1" w:rsidP="00DF1BF1">
      <w:pPr>
        <w:jc w:val="center"/>
        <w:rPr>
          <w:b/>
        </w:rPr>
      </w:pPr>
    </w:p>
    <w:p w14:paraId="2A1B05D8" w14:textId="77777777" w:rsidR="00DF1BF1" w:rsidRPr="00DF1BF1" w:rsidRDefault="00DF1BF1" w:rsidP="00DF1BF1">
      <w:pPr>
        <w:jc w:val="center"/>
        <w:rPr>
          <w:b/>
        </w:rPr>
      </w:pPr>
    </w:p>
    <w:p w14:paraId="69BBF513" w14:textId="77777777" w:rsidR="00DF1BF1" w:rsidRPr="00DF1BF1" w:rsidRDefault="00DF1BF1" w:rsidP="00DF1BF1">
      <w:pPr>
        <w:jc w:val="center"/>
        <w:rPr>
          <w:b/>
        </w:rPr>
      </w:pPr>
    </w:p>
    <w:p w14:paraId="6AB5D049" w14:textId="77777777" w:rsidR="00DF1BF1" w:rsidRPr="00DF1BF1" w:rsidRDefault="00DF1BF1" w:rsidP="00DF1BF1">
      <w:pPr>
        <w:jc w:val="center"/>
        <w:rPr>
          <w:b/>
        </w:rPr>
      </w:pPr>
    </w:p>
    <w:p w14:paraId="5C04806C" w14:textId="77777777" w:rsidR="00DF1BF1" w:rsidRPr="00DF1BF1" w:rsidRDefault="00DF1BF1" w:rsidP="00DF1BF1">
      <w:pPr>
        <w:widowControl w:val="0"/>
        <w:autoSpaceDE w:val="0"/>
        <w:autoSpaceDN w:val="0"/>
        <w:jc w:val="both"/>
      </w:pPr>
      <w:r w:rsidRPr="00DF1BF1">
        <w:t xml:space="preserve"> </w:t>
      </w:r>
    </w:p>
    <w:p w14:paraId="5FF38DFC" w14:textId="77777777" w:rsidR="00DF1BF1" w:rsidRPr="00DF1BF1" w:rsidRDefault="00DF1BF1" w:rsidP="00107AA3">
      <w:pPr>
        <w:pBdr>
          <w:top w:val="nil"/>
          <w:left w:val="nil"/>
          <w:bottom w:val="nil"/>
          <w:right w:val="nil"/>
          <w:between w:val="nil"/>
        </w:pBdr>
        <w:shd w:val="clear" w:color="auto" w:fill="FFFFFF"/>
        <w:jc w:val="both"/>
        <w:rPr>
          <w:color w:val="000000"/>
          <w:lang w:val="en-GB"/>
        </w:rPr>
      </w:pPr>
    </w:p>
    <w:p w14:paraId="5FEE2F1E" w14:textId="77777777" w:rsidR="005414B2" w:rsidRPr="00DF1BF1" w:rsidRDefault="005414B2" w:rsidP="00107AA3">
      <w:pPr>
        <w:pBdr>
          <w:top w:val="nil"/>
          <w:left w:val="nil"/>
          <w:bottom w:val="nil"/>
          <w:right w:val="nil"/>
          <w:between w:val="nil"/>
        </w:pBdr>
        <w:shd w:val="clear" w:color="auto" w:fill="FFFFFF"/>
        <w:jc w:val="both"/>
        <w:rPr>
          <w:color w:val="000000"/>
          <w:lang w:val="en-GB"/>
        </w:rPr>
      </w:pPr>
    </w:p>
    <w:p w14:paraId="4D04DA07" w14:textId="18682EE3" w:rsidR="005414B2" w:rsidRPr="00DF1BF1" w:rsidRDefault="005414B2" w:rsidP="00107AA3">
      <w:pPr>
        <w:pBdr>
          <w:top w:val="nil"/>
          <w:left w:val="nil"/>
          <w:bottom w:val="nil"/>
          <w:right w:val="nil"/>
          <w:between w:val="nil"/>
        </w:pBdr>
        <w:shd w:val="clear" w:color="auto" w:fill="FFFFFF"/>
        <w:jc w:val="both"/>
        <w:rPr>
          <w:color w:val="000000"/>
          <w:lang w:val="en-GB"/>
        </w:rPr>
      </w:pPr>
    </w:p>
    <w:p w14:paraId="6FDB88FD" w14:textId="170B7B62" w:rsidR="005414B2" w:rsidRPr="00DF1BF1" w:rsidRDefault="005414B2" w:rsidP="00107AA3">
      <w:pPr>
        <w:pBdr>
          <w:top w:val="nil"/>
          <w:left w:val="nil"/>
          <w:bottom w:val="nil"/>
          <w:right w:val="nil"/>
          <w:between w:val="nil"/>
        </w:pBdr>
        <w:shd w:val="clear" w:color="auto" w:fill="FFFFFF"/>
        <w:jc w:val="both"/>
        <w:rPr>
          <w:color w:val="000000"/>
          <w:lang w:val="en-GB"/>
        </w:rPr>
      </w:pPr>
    </w:p>
    <w:sectPr w:rsidR="005414B2" w:rsidRPr="00DF1BF1" w:rsidSect="00F80CAB">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6689A" w14:textId="77777777" w:rsidR="000C378A" w:rsidRDefault="000C378A" w:rsidP="00883B3F">
      <w:r>
        <w:separator/>
      </w:r>
    </w:p>
  </w:endnote>
  <w:endnote w:type="continuationSeparator" w:id="0">
    <w:p w14:paraId="70012CEC" w14:textId="77777777" w:rsidR="000C378A" w:rsidRDefault="000C378A" w:rsidP="0088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3C76C" w14:textId="77777777" w:rsidR="000C378A" w:rsidRDefault="000C378A" w:rsidP="00883B3F">
      <w:r>
        <w:separator/>
      </w:r>
    </w:p>
  </w:footnote>
  <w:footnote w:type="continuationSeparator" w:id="0">
    <w:p w14:paraId="5F1FE3F8" w14:textId="77777777" w:rsidR="000C378A" w:rsidRDefault="000C378A" w:rsidP="0088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78582E"/>
    <w:multiLevelType w:val="multilevel"/>
    <w:tmpl w:val="2D3E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A77550"/>
    <w:multiLevelType w:val="hybridMultilevel"/>
    <w:tmpl w:val="A616430E"/>
    <w:lvl w:ilvl="0" w:tplc="041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 w15:restartNumberingAfterBreak="0">
    <w:nsid w:val="723B7F0D"/>
    <w:multiLevelType w:val="hybridMultilevel"/>
    <w:tmpl w:val="E7BE0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C378A"/>
    <w:rsid w:val="000E334E"/>
    <w:rsid w:val="00101A1C"/>
    <w:rsid w:val="00103657"/>
    <w:rsid w:val="00106375"/>
    <w:rsid w:val="00107AA3"/>
    <w:rsid w:val="00116478"/>
    <w:rsid w:val="00130241"/>
    <w:rsid w:val="001E61C2"/>
    <w:rsid w:val="001F0493"/>
    <w:rsid w:val="0022260A"/>
    <w:rsid w:val="002264EE"/>
    <w:rsid w:val="0023307C"/>
    <w:rsid w:val="002B1CD0"/>
    <w:rsid w:val="002F324B"/>
    <w:rsid w:val="0031361E"/>
    <w:rsid w:val="00344930"/>
    <w:rsid w:val="00373E2D"/>
    <w:rsid w:val="00391C38"/>
    <w:rsid w:val="003B76D6"/>
    <w:rsid w:val="003D09AD"/>
    <w:rsid w:val="003E2601"/>
    <w:rsid w:val="003F4E6B"/>
    <w:rsid w:val="004A26A3"/>
    <w:rsid w:val="004F0EDF"/>
    <w:rsid w:val="00522BF1"/>
    <w:rsid w:val="005414B2"/>
    <w:rsid w:val="00590166"/>
    <w:rsid w:val="005B07E6"/>
    <w:rsid w:val="005C3AFC"/>
    <w:rsid w:val="005D022B"/>
    <w:rsid w:val="005E5BE9"/>
    <w:rsid w:val="0060554E"/>
    <w:rsid w:val="0064797A"/>
    <w:rsid w:val="00665279"/>
    <w:rsid w:val="0069427D"/>
    <w:rsid w:val="006F7A19"/>
    <w:rsid w:val="00705378"/>
    <w:rsid w:val="007213E1"/>
    <w:rsid w:val="00760CD2"/>
    <w:rsid w:val="00775389"/>
    <w:rsid w:val="00797838"/>
    <w:rsid w:val="007C36D8"/>
    <w:rsid w:val="007F2744"/>
    <w:rsid w:val="00883B3F"/>
    <w:rsid w:val="008931BE"/>
    <w:rsid w:val="008C67E3"/>
    <w:rsid w:val="008E367D"/>
    <w:rsid w:val="00914205"/>
    <w:rsid w:val="00921D45"/>
    <w:rsid w:val="009426C0"/>
    <w:rsid w:val="00980A65"/>
    <w:rsid w:val="009A66DB"/>
    <w:rsid w:val="009B2F80"/>
    <w:rsid w:val="009B3300"/>
    <w:rsid w:val="009F3380"/>
    <w:rsid w:val="00A02163"/>
    <w:rsid w:val="00A314FE"/>
    <w:rsid w:val="00AA1D62"/>
    <w:rsid w:val="00AD7380"/>
    <w:rsid w:val="00BC6AC4"/>
    <w:rsid w:val="00BD7958"/>
    <w:rsid w:val="00BF36F8"/>
    <w:rsid w:val="00BF4622"/>
    <w:rsid w:val="00C36346"/>
    <w:rsid w:val="00C844E2"/>
    <w:rsid w:val="00CD00B1"/>
    <w:rsid w:val="00D22306"/>
    <w:rsid w:val="00D37D84"/>
    <w:rsid w:val="00D42542"/>
    <w:rsid w:val="00D8121C"/>
    <w:rsid w:val="00DD47C4"/>
    <w:rsid w:val="00DF1BF1"/>
    <w:rsid w:val="00E22189"/>
    <w:rsid w:val="00E74069"/>
    <w:rsid w:val="00E81D35"/>
    <w:rsid w:val="00EB1F49"/>
    <w:rsid w:val="00EE56E6"/>
    <w:rsid w:val="00F55054"/>
    <w:rsid w:val="00F80CAB"/>
    <w:rsid w:val="00F865B3"/>
    <w:rsid w:val="00F937C8"/>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 w:type="paragraph" w:styleId="ac">
    <w:name w:val="header"/>
    <w:basedOn w:val="a"/>
    <w:link w:val="ad"/>
    <w:uiPriority w:val="99"/>
    <w:unhideWhenUsed/>
    <w:rsid w:val="00883B3F"/>
    <w:pPr>
      <w:tabs>
        <w:tab w:val="center" w:pos="4677"/>
        <w:tab w:val="right" w:pos="9355"/>
      </w:tabs>
    </w:pPr>
  </w:style>
  <w:style w:type="character" w:customStyle="1" w:styleId="ad">
    <w:name w:val="Верхний колонтитул Знак"/>
    <w:basedOn w:val="a0"/>
    <w:link w:val="ac"/>
    <w:uiPriority w:val="99"/>
    <w:rsid w:val="00883B3F"/>
    <w:rPr>
      <w:rFonts w:ascii="Times New Roman" w:eastAsia="Times New Roman" w:hAnsi="Times New Roman" w:cs="Times New Roman"/>
      <w:sz w:val="24"/>
      <w:szCs w:val="24"/>
    </w:rPr>
  </w:style>
  <w:style w:type="paragraph" w:styleId="ae">
    <w:name w:val="footer"/>
    <w:basedOn w:val="a"/>
    <w:link w:val="af"/>
    <w:uiPriority w:val="99"/>
    <w:unhideWhenUsed/>
    <w:rsid w:val="00883B3F"/>
    <w:pPr>
      <w:tabs>
        <w:tab w:val="center" w:pos="4677"/>
        <w:tab w:val="right" w:pos="9355"/>
      </w:tabs>
    </w:pPr>
  </w:style>
  <w:style w:type="character" w:customStyle="1" w:styleId="af">
    <w:name w:val="Нижний колонтитул Знак"/>
    <w:basedOn w:val="a0"/>
    <w:link w:val="ae"/>
    <w:uiPriority w:val="99"/>
    <w:rsid w:val="00883B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73726">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EEBFB-8D36-4FAC-A436-56248767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691</Words>
  <Characters>3940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Данилкина Мария</cp:lastModifiedBy>
  <cp:revision>6</cp:revision>
  <cp:lastPrinted>2026-01-28T14:24:00Z</cp:lastPrinted>
  <dcterms:created xsi:type="dcterms:W3CDTF">2026-01-28T14:24:00Z</dcterms:created>
  <dcterms:modified xsi:type="dcterms:W3CDTF">2026-05-12T09:02:00Z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