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bookmarkStart w:id="0" w:name="_GoBack"/>
      <w:r>
        <w:rPr>
          <w:rFonts w:hint="default" w:ascii="Times New Roman Regular" w:hAnsi="Times New Roman Regular" w:cs="Times New Roman Regular"/>
          <w:sz w:val="24"/>
          <w:szCs w:val="24"/>
        </w:rPr>
        <w:t>А</w:t>
      </w:r>
      <w:r>
        <w:rPr>
          <w:rFonts w:hint="default" w:ascii="Times New Roman Regular" w:hAnsi="Times New Roman Regular" w:cs="Times New Roman Regular"/>
          <w:sz w:val="24"/>
          <w:szCs w:val="24"/>
        </w:rPr>
        <w:t>нализ сочетаемости глаголов синонимического ряда с доминантой ОБРЕМЕНИТЬ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Гулисяти Аитань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/>
        <w:jc w:val="center"/>
        <w:textAlignment w:val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t xml:space="preserve">Аспирант Университета МГУ-ППИ, Шэньчжэн, Китай   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13"/>
          <w:szCs w:val="13"/>
        </w:rPr>
      </w:pP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>Изучение синонимии в русском языке предполагает не только семантический анализ, но и детальное исследование лексической сочетаемости, которая позволяет выявить функциональные и стилистические нюансы каждой единицы. В настоящей работе проводится анализ сочетаемости глаголов, входящих в синонимический ряд с доминантой ОБРЕМЕНИТЬ (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обременить, отяготить, отягчить, повесить, загрузить, нагрузить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>). Материалом для исследования послужили тексты, репрезентированные в Национальном корпусе русского языка. Целью работы является выявление семантических и функциональных нюансов употребления указанных глагольных лексем в переносном значении через определение их наиболее органичной субстантивной и адвербиальной сочетаемости.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Анализ материала НКРЯ демонстрирует, что все глаголы исследуемого ряда в переносном значении обнаруживают широкую сочетаемость с лексемами, обозначающими различные аспекты трудовой и социальной деятельности. К числу таких субстантивов относятся: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рабочие задания, поручения, дела, проблемы, хлопоты, обязанности, служба, труд, задания, заботы, просьбы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, а также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понятия, связанные с затруднительными ситуациями, неблагоприятными обстоятельствами и задачами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>, требующими значительных усилий. Однако детальное рассмотрение каждого глагола позволяет установить значимые сочетаемостные различия.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Глагол обременить (и его видовая пара обременять) в переносном значении активно взаимодействует с абстрактными существительными, среди которых наиболее регулярны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дело, работа, просьба, проблема, обязанность, заботы, служба, труд, поручения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. Каждое из этих сочетаний раскрывает новые грани значения глагола, подчеркивая его способность передавать не только физическую, но и эмоциональную, психологическую нагрузку.Например: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я сам обременен моими личными заботами...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В сфере адвербиальной сочетаемости глагол обременить демонстрирует разнообразие: согласно НКРЯ, он сочетается с наречиями меры, степени и образа действия, среди которых зафиксированы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слишком, менее, крайне, много, очень, мало, так, более, больше, постоянно, только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>. Например: ...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более обременены преподавательской работой....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Глагол отяготить (и его видовая пара отягощать) в переносном значении сочетается с абстрактными существительными, частично пересекающимися с группой глагола обременить: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работа, хлопоты, дела, просьба, заботы, проблема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. Например: ...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отягощен был государь просьбами....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>Однако адвербиальная сочетаемость данного глагола существенно уже: в НКРЯ зафиксированы лишь наречия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 слишком, отныне и совершенно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. Например: ...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слишком отягощать своих крестьян работою.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Это свидетельствует о меньшей грамматической свободе глагола отяготить по сравнению с обременить и о его тяготении к контекстам с качественной, а не количественной характеристикой действия.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Глагол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отягчить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(и его видовая пара отягчать) обнаруживает наиболее ограниченную сочетаемость. Согласно данным НКРЯ, в переносном значении он сочетается с существительными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работа, дела, заботы, просьба и труд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. Например: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Князь Василий имел вид человека, отягченного делами.... 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Глаголы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загрузить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и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 загружать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демонстрируют, напротив, наиболее развитую адвербиальную сочетаемость. Помимо субстантивных партнёров (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работа, дело, проблема, хлопоты, поручение, служба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), они регулярно сочетаются с наречиями, выражающими интенсивность и степень загруженности: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полностью, плотно, постоянно, очень, сильно, сразу, вечно, настолько, действительно, меньше, слишком, тесно, побольше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, а также наречием так. Этот широкий спектр указывает на семантический акцент на количественной мере обременения. Например: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Впрочем, поручениями его не очень загружали.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Глаголы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нагрузить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и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 нагружать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занимают промежуточное положение. Они сочетаются с существительными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работа, дело, должность, задание, забота, задачи, обязанность, проблема, поручение,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а также, согласно данным НКРЯ, с наречиями, выражающими степень и регулярность действия, хотя конкретный перечень наречий в предоставленном материале не детализирован. Например: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Отец очень нагружен работой.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Наконец, глаголы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повесить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и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 xml:space="preserve"> вешать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 обнаруживают наиболее узкую субстантивную сочетаемость: в НКРЯ зафиксированы сочетания лишь с существительными работа, проблема, дело. Например:...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lang w:eastAsia="zh-CN"/>
        </w:rPr>
        <w:t>они на меня повесят эти работы.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При этом, согласно корпусным данным, данные глаголы с наречиями не сочетаются, что является их отличительной особенностью в рамках исследуемого ряда. 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eastAsia="zh-CN"/>
        </w:rPr>
        <w:t xml:space="preserve">Таким образом, проведённый анализ позволяет сделать следующие выводы. Все члены синонимического ряда с доминантой ОБРЕМЕНИТЬ обладают общей сочетаемостью с абстрактными существительными трудовой и социальной сферы. Однако дифференциация осуществляется по двум параметрам: широте субстантивной сочетаемости и наличию/разнообразию адвербиальной сочетаемости. Максимальной сочетаемостной свободой обладает глагол обременить, тогда как загрузить выделяется богатством наречий степени. Отяготить и отягчить демонстрируют сужающуюся сочетаемость, а повесить занимает периферийное положение с крайне ограниченными коллокационными возможностями. </w:t>
      </w:r>
    </w:p>
    <w:p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>
      <w:pPr>
        <w:spacing w:after="0" w:line="240" w:lineRule="auto"/>
        <w:ind w:firstLine="480" w:firstLineChars="200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Литература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Активный словарь русского языка / отв. ред. Ю. Д. Апресян. Т. 1. А–Б. М.: Языки славянской культуры, 2014.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Большой академический словарь / науч. координатор изд. А. С. Герд. — М. ; СПб. : Наука, 2004–.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Большой толковый словарь русского языка / под ред. С. А. Кузнецова. СПб.: Норинт, 1998.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Евгеньева А. П. Малый академический словарь. Т. 2. М., 1985.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Национальный корпус русского языка. 2025. URL: www.ruscorpora.ru (дата обращения: март 2026).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Фань Гуоминь, Ли Сиинь. Большой русско-китайский толковый словарь новой эпохи: в 4 т. Т. 3. Хэйлунцзян: Коммерческая пресса, 2014.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434C"/>
    <w:rsid w:val="09E5ECCB"/>
    <w:rsid w:val="1C96C812"/>
    <w:rsid w:val="1D5E1E25"/>
    <w:rsid w:val="23CB4774"/>
    <w:rsid w:val="2BD84DD2"/>
    <w:rsid w:val="2D279027"/>
    <w:rsid w:val="2DD3BB00"/>
    <w:rsid w:val="3B6FBCC8"/>
    <w:rsid w:val="3C6CA59A"/>
    <w:rsid w:val="3D792B10"/>
    <w:rsid w:val="3FE5AA9D"/>
    <w:rsid w:val="3FFFFC58"/>
    <w:rsid w:val="427F6001"/>
    <w:rsid w:val="548FB8C8"/>
    <w:rsid w:val="56771CB7"/>
    <w:rsid w:val="5BD12056"/>
    <w:rsid w:val="5DFFE47F"/>
    <w:rsid w:val="5FBFCF2F"/>
    <w:rsid w:val="5FFC7860"/>
    <w:rsid w:val="68DF434C"/>
    <w:rsid w:val="6AFF3101"/>
    <w:rsid w:val="6BDF1B9F"/>
    <w:rsid w:val="6D3A6047"/>
    <w:rsid w:val="6D9F3224"/>
    <w:rsid w:val="6DAF34B7"/>
    <w:rsid w:val="6DBF8FFC"/>
    <w:rsid w:val="6DFEA7CC"/>
    <w:rsid w:val="6EAFA120"/>
    <w:rsid w:val="6EEFE1D1"/>
    <w:rsid w:val="6FBD9EFD"/>
    <w:rsid w:val="6FF738B9"/>
    <w:rsid w:val="726C4F72"/>
    <w:rsid w:val="75BF6A5A"/>
    <w:rsid w:val="773EA181"/>
    <w:rsid w:val="77BFFC8C"/>
    <w:rsid w:val="77DD1882"/>
    <w:rsid w:val="77DFBDD2"/>
    <w:rsid w:val="7B71C522"/>
    <w:rsid w:val="7B9FBD55"/>
    <w:rsid w:val="7BB483E5"/>
    <w:rsid w:val="7BBF8394"/>
    <w:rsid w:val="7BCA227D"/>
    <w:rsid w:val="7BFDE7A1"/>
    <w:rsid w:val="7DFABB2C"/>
    <w:rsid w:val="7E79CB32"/>
    <w:rsid w:val="7EB67778"/>
    <w:rsid w:val="7EDD5F99"/>
    <w:rsid w:val="7EDF2353"/>
    <w:rsid w:val="7F5F4C87"/>
    <w:rsid w:val="7F6908F6"/>
    <w:rsid w:val="7F7D62FE"/>
    <w:rsid w:val="7FBD4B1F"/>
    <w:rsid w:val="7FEDC191"/>
    <w:rsid w:val="7FF4CE88"/>
    <w:rsid w:val="7FF981F5"/>
    <w:rsid w:val="86CD6F5A"/>
    <w:rsid w:val="9FEEE931"/>
    <w:rsid w:val="A6E756F7"/>
    <w:rsid w:val="A6FF770B"/>
    <w:rsid w:val="ABAF2C26"/>
    <w:rsid w:val="ACFDAF92"/>
    <w:rsid w:val="ADFDA9F3"/>
    <w:rsid w:val="AEBAC602"/>
    <w:rsid w:val="B3FEA255"/>
    <w:rsid w:val="B7FFECF0"/>
    <w:rsid w:val="BF8C4F17"/>
    <w:rsid w:val="C6B7C9C0"/>
    <w:rsid w:val="CB8BDF7E"/>
    <w:rsid w:val="CDD937AB"/>
    <w:rsid w:val="D3DD9A98"/>
    <w:rsid w:val="D5DE75F3"/>
    <w:rsid w:val="D76BF158"/>
    <w:rsid w:val="D76DE461"/>
    <w:rsid w:val="D79DD985"/>
    <w:rsid w:val="D7FF199A"/>
    <w:rsid w:val="DAF5FC27"/>
    <w:rsid w:val="DB8FEECC"/>
    <w:rsid w:val="DBA7FC21"/>
    <w:rsid w:val="DF308760"/>
    <w:rsid w:val="DF5FC759"/>
    <w:rsid w:val="DFDFEE6A"/>
    <w:rsid w:val="E5FC4B9F"/>
    <w:rsid w:val="E7BA4446"/>
    <w:rsid w:val="E7DF4481"/>
    <w:rsid w:val="E7FCB55F"/>
    <w:rsid w:val="EBDE3348"/>
    <w:rsid w:val="EBF3F261"/>
    <w:rsid w:val="EDF50ACB"/>
    <w:rsid w:val="EEBB99C6"/>
    <w:rsid w:val="EFFB21F1"/>
    <w:rsid w:val="EFFD2FCE"/>
    <w:rsid w:val="F2D620CB"/>
    <w:rsid w:val="F43D075D"/>
    <w:rsid w:val="F6BF6D1C"/>
    <w:rsid w:val="F6FF6924"/>
    <w:rsid w:val="F9FFF13D"/>
    <w:rsid w:val="FB9EF80B"/>
    <w:rsid w:val="FBEFF03E"/>
    <w:rsid w:val="FBF36D3D"/>
    <w:rsid w:val="FD9D52BF"/>
    <w:rsid w:val="FDFDE296"/>
    <w:rsid w:val="FED07B26"/>
    <w:rsid w:val="FF27EBBC"/>
    <w:rsid w:val="FF4EA360"/>
    <w:rsid w:val="FF9DCB5D"/>
    <w:rsid w:val="FFAFE9B6"/>
    <w:rsid w:val="FFBC8F01"/>
    <w:rsid w:val="FFBFC790"/>
    <w:rsid w:val="FFF7B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styleId="12">
    <w:name w:val="footnote reference"/>
    <w:basedOn w:val="8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2026-03-02T03:42:00Z</dcterms:created>
  <dc:creator>WPS_Naz</dc:creator>
  <cp:lastModifiedBy>WPS_Naz</cp:lastModifiedBy>
  <dcterms:modified xsi:type="dcterms:W3CDTF">2026-04-06T09:04:53Z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A01A689ABAA984033164A26994B3EA88_41</vt:lpwstr>
  </property>
</Properties>
</file>