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13DF" w14:textId="34BFF900" w:rsidR="00AE33FB" w:rsidRDefault="009C4246" w:rsidP="00DC1073">
      <w:pPr>
        <w:spacing w:after="0" w:line="240" w:lineRule="auto"/>
        <w:jc w:val="center"/>
        <w:rPr>
          <w:rFonts w:ascii="Times New Roman" w:eastAsiaTheme="minorEastAsia" w:hAnsi="Times New Roman" w:cs="Times New Roman"/>
          <w:b/>
          <w:bCs/>
          <w:color w:val="000000"/>
          <w:kern w:val="0"/>
          <w:lang w:eastAsia="zh-CN"/>
          <w14:ligatures w14:val="none"/>
        </w:rPr>
      </w:pPr>
      <w:r w:rsidRPr="00994344">
        <w:rPr>
          <w:rFonts w:ascii="Times New Roman" w:eastAsia="Times New Roman" w:hAnsi="Times New Roman" w:cs="Times New Roman"/>
          <w:b/>
          <w:bCs/>
          <w:color w:val="000000"/>
          <w:kern w:val="0"/>
          <w14:ligatures w14:val="none"/>
        </w:rPr>
        <w:t>Effect of modified alginate gel on eukaryotic cell growth</w:t>
      </w:r>
    </w:p>
    <w:p w14:paraId="377CE14F" w14:textId="77777777" w:rsidR="00994344" w:rsidRPr="00994344" w:rsidRDefault="00994344" w:rsidP="00DC1073">
      <w:pPr>
        <w:spacing w:after="0" w:line="240" w:lineRule="auto"/>
        <w:jc w:val="center"/>
        <w:rPr>
          <w:rFonts w:ascii="Times New Roman" w:eastAsiaTheme="minorEastAsia" w:hAnsi="Times New Roman" w:cs="Times New Roman" w:hint="eastAsia"/>
          <w:b/>
          <w:bCs/>
          <w:color w:val="000000"/>
          <w:kern w:val="0"/>
          <w:lang w:eastAsia="zh-CN"/>
          <w14:ligatures w14:val="none"/>
        </w:rPr>
      </w:pPr>
    </w:p>
    <w:p w14:paraId="3C8772BE" w14:textId="5239B2BF" w:rsidR="00CA4C91" w:rsidRPr="00B50334" w:rsidRDefault="00B50334" w:rsidP="00CA4C91">
      <w:pPr>
        <w:spacing w:after="0" w:line="240" w:lineRule="auto"/>
        <w:jc w:val="center"/>
        <w:rPr>
          <w:rFonts w:ascii="Times New Roman" w:eastAsiaTheme="minorEastAsia" w:hAnsi="Times New Roman" w:cs="Times New Roman"/>
          <w:b/>
          <w:bCs/>
          <w:i/>
          <w:iCs/>
          <w:color w:val="000000"/>
          <w:kern w:val="0"/>
          <w14:ligatures w14:val="none"/>
        </w:rPr>
      </w:pPr>
      <w:r>
        <w:rPr>
          <w:rFonts w:ascii="Times New Roman" w:eastAsiaTheme="minorEastAsia" w:hAnsi="Times New Roman" w:cs="Times New Roman" w:hint="eastAsia"/>
          <w:b/>
          <w:bCs/>
          <w:i/>
          <w:iCs/>
          <w:color w:val="000000"/>
          <w:kern w:val="0"/>
          <w:lang w:eastAsia="zh-CN"/>
          <w14:ligatures w14:val="none"/>
        </w:rPr>
        <w:t xml:space="preserve">Liu </w:t>
      </w:r>
      <w:r w:rsidR="00AE33FB">
        <w:rPr>
          <w:rFonts w:ascii="Times New Roman" w:eastAsiaTheme="minorEastAsia" w:hAnsi="Times New Roman" w:cs="Times New Roman" w:hint="eastAsia"/>
          <w:b/>
          <w:bCs/>
          <w:i/>
          <w:iCs/>
          <w:color w:val="000000"/>
          <w:kern w:val="0"/>
          <w:lang w:eastAsia="zh-CN"/>
          <w14:ligatures w14:val="none"/>
        </w:rPr>
        <w:t xml:space="preserve">Xufeng </w:t>
      </w:r>
    </w:p>
    <w:p w14:paraId="3349C4CE" w14:textId="170CB729" w:rsidR="00CA4C91" w:rsidRPr="00AE33FB" w:rsidRDefault="005E747C" w:rsidP="00AE33FB">
      <w:pPr>
        <w:spacing w:after="0" w:line="240" w:lineRule="auto"/>
        <w:jc w:val="center"/>
        <w:rPr>
          <w:rFonts w:ascii="Times New Roman" w:eastAsiaTheme="minorEastAsia" w:hAnsi="Times New Roman" w:cs="Times New Roman"/>
          <w:i/>
          <w:iCs/>
          <w:color w:val="000000"/>
          <w:kern w:val="0"/>
          <w:lang w:eastAsia="zh-CN"/>
          <w14:ligatures w14:val="none"/>
        </w:rPr>
      </w:pPr>
      <w:r w:rsidRPr="00AE33FB">
        <w:rPr>
          <w:rFonts w:ascii="Times New Roman" w:eastAsia="Times New Roman" w:hAnsi="Times New Roman" w:cs="Times New Roman" w:hint="eastAsia"/>
          <w:i/>
          <w:iCs/>
          <w:color w:val="000000"/>
          <w:kern w:val="0"/>
          <w:lang w:eastAsia="zh-CN"/>
          <w14:ligatures w14:val="none"/>
        </w:rPr>
        <w:t>2</w:t>
      </w:r>
      <w:r w:rsidRPr="00AE33FB">
        <w:rPr>
          <w:rFonts w:ascii="Times New Roman" w:eastAsia="Times New Roman" w:hAnsi="Times New Roman" w:cs="Times New Roman" w:hint="eastAsia"/>
          <w:i/>
          <w:iCs/>
          <w:color w:val="000000"/>
          <w:kern w:val="0"/>
          <w:vertAlign w:val="superscript"/>
          <w:lang w:eastAsia="zh-CN"/>
          <w14:ligatures w14:val="none"/>
        </w:rPr>
        <w:t>nd</w:t>
      </w:r>
      <w:r w:rsidRPr="00AE33FB">
        <w:rPr>
          <w:rFonts w:ascii="Times New Roman" w:eastAsia="Times New Roman" w:hAnsi="Times New Roman" w:cs="Times New Roman" w:hint="eastAsia"/>
          <w:i/>
          <w:iCs/>
          <w:color w:val="000000"/>
          <w:kern w:val="0"/>
          <w:lang w:eastAsia="zh-CN"/>
          <w14:ligatures w14:val="none"/>
        </w:rPr>
        <w:t>Master</w:t>
      </w:r>
      <w:r w:rsidRPr="00AE33FB">
        <w:rPr>
          <w:rFonts w:ascii="Times New Roman" w:eastAsia="Times New Roman" w:hAnsi="Times New Roman" w:cs="Times New Roman"/>
          <w:i/>
          <w:iCs/>
          <w:color w:val="000000"/>
          <w:kern w:val="0"/>
          <w:lang w:eastAsia="zh-CN"/>
          <w14:ligatures w14:val="none"/>
        </w:rPr>
        <w:t>’</w:t>
      </w:r>
      <w:r w:rsidRPr="00AE33FB">
        <w:rPr>
          <w:rFonts w:ascii="Times New Roman" w:eastAsia="Times New Roman" w:hAnsi="Times New Roman" w:cs="Times New Roman" w:hint="eastAsia"/>
          <w:i/>
          <w:iCs/>
          <w:color w:val="000000"/>
          <w:kern w:val="0"/>
          <w:lang w:eastAsia="zh-CN"/>
          <w14:ligatures w14:val="none"/>
        </w:rPr>
        <w:t>s student</w:t>
      </w:r>
    </w:p>
    <w:p w14:paraId="300FEE40" w14:textId="32B0D942" w:rsidR="00CA4C91" w:rsidRPr="00CA4C91" w:rsidRDefault="005E747C" w:rsidP="00CA4C91">
      <w:pPr>
        <w:spacing w:after="0" w:line="240" w:lineRule="auto"/>
        <w:jc w:val="center"/>
        <w:rPr>
          <w:rFonts w:ascii="Times New Roman" w:eastAsia="Times New Roman" w:hAnsi="Times New Roman" w:cs="Times New Roman"/>
          <w:i/>
          <w:iCs/>
          <w:color w:val="000000"/>
          <w:kern w:val="0"/>
          <w:lang w:eastAsia="zh-CN"/>
          <w14:ligatures w14:val="none"/>
        </w:rPr>
      </w:pPr>
      <w:r>
        <w:rPr>
          <w:rFonts w:ascii="Times New Roman" w:eastAsia="Times New Roman" w:hAnsi="Times New Roman" w:cs="Times New Roman" w:hint="eastAsia"/>
          <w:i/>
          <w:iCs/>
          <w:color w:val="000000"/>
          <w:kern w:val="0"/>
          <w:lang w:eastAsia="zh-CN"/>
          <w14:ligatures w14:val="none"/>
        </w:rPr>
        <w:t>Shenzhen MSU-BIT</w:t>
      </w:r>
      <w:r w:rsidR="00CA4C91" w:rsidRPr="00CA4C91">
        <w:rPr>
          <w:rFonts w:ascii="Times New Roman" w:eastAsia="Times New Roman" w:hAnsi="Times New Roman" w:cs="Times New Roman"/>
          <w:i/>
          <w:iCs/>
          <w:color w:val="000000"/>
          <w:kern w:val="0"/>
          <w14:ligatures w14:val="none"/>
        </w:rPr>
        <w:t xml:space="preserve"> University</w:t>
      </w:r>
      <w:r w:rsidR="00AE33FB">
        <w:rPr>
          <w:rFonts w:ascii="Times New Roman" w:eastAsiaTheme="minorEastAsia" w:hAnsi="Times New Roman" w:cs="Times New Roman" w:hint="eastAsia"/>
          <w:i/>
          <w:iCs/>
          <w:color w:val="000000"/>
          <w:kern w:val="0"/>
          <w:lang w:eastAsia="zh-CN"/>
          <w14:ligatures w14:val="none"/>
        </w:rPr>
        <w:t xml:space="preserve">, </w:t>
      </w:r>
      <w:r w:rsidR="00CA4C91" w:rsidRPr="00CA4C91">
        <w:rPr>
          <w:rFonts w:ascii="Times New Roman" w:eastAsia="Times New Roman" w:hAnsi="Times New Roman" w:cs="Times New Roman"/>
          <w:i/>
          <w:iCs/>
          <w:color w:val="000000"/>
          <w:kern w:val="0"/>
          <w14:ligatures w14:val="none"/>
        </w:rPr>
        <w:t xml:space="preserve">Faculty of </w:t>
      </w:r>
      <w:r>
        <w:rPr>
          <w:rFonts w:ascii="Times New Roman" w:eastAsia="Times New Roman" w:hAnsi="Times New Roman" w:cs="Times New Roman" w:hint="eastAsia"/>
          <w:i/>
          <w:iCs/>
          <w:color w:val="000000"/>
          <w:kern w:val="0"/>
          <w:lang w:eastAsia="zh-CN"/>
          <w14:ligatures w14:val="none"/>
        </w:rPr>
        <w:t>Biology</w:t>
      </w:r>
      <w:r w:rsidR="00CA4C91" w:rsidRPr="00CA4C91">
        <w:rPr>
          <w:rFonts w:ascii="Times New Roman" w:eastAsia="Times New Roman" w:hAnsi="Times New Roman" w:cs="Times New Roman"/>
          <w:i/>
          <w:iCs/>
          <w:color w:val="000000"/>
          <w:kern w:val="0"/>
          <w14:ligatures w14:val="none"/>
        </w:rPr>
        <w:t xml:space="preserve">, </w:t>
      </w:r>
      <w:proofErr w:type="spellStart"/>
      <w:r>
        <w:rPr>
          <w:rFonts w:ascii="Times New Roman" w:eastAsia="Times New Roman" w:hAnsi="Times New Roman" w:cs="Times New Roman" w:hint="eastAsia"/>
          <w:i/>
          <w:iCs/>
          <w:color w:val="000000"/>
          <w:kern w:val="0"/>
          <w:lang w:eastAsia="zh-CN"/>
          <w14:ligatures w14:val="none"/>
        </w:rPr>
        <w:t>Shen</w:t>
      </w:r>
      <w:r w:rsidR="00AE33FB">
        <w:rPr>
          <w:rFonts w:ascii="Times New Roman" w:eastAsiaTheme="minorEastAsia" w:hAnsi="Times New Roman" w:cs="Times New Roman" w:hint="eastAsia"/>
          <w:i/>
          <w:iCs/>
          <w:color w:val="000000"/>
          <w:kern w:val="0"/>
          <w:lang w:eastAsia="zh-CN"/>
          <w14:ligatures w14:val="none"/>
        </w:rPr>
        <w:t>Z</w:t>
      </w:r>
      <w:r>
        <w:rPr>
          <w:rFonts w:ascii="Times New Roman" w:eastAsia="Times New Roman" w:hAnsi="Times New Roman" w:cs="Times New Roman" w:hint="eastAsia"/>
          <w:i/>
          <w:iCs/>
          <w:color w:val="000000"/>
          <w:kern w:val="0"/>
          <w:lang w:eastAsia="zh-CN"/>
          <w14:ligatures w14:val="none"/>
        </w:rPr>
        <w:t>hen</w:t>
      </w:r>
      <w:proofErr w:type="spellEnd"/>
      <w:r w:rsidR="00CA4C91" w:rsidRPr="00CA4C91">
        <w:rPr>
          <w:rFonts w:ascii="Times New Roman" w:eastAsia="Times New Roman" w:hAnsi="Times New Roman" w:cs="Times New Roman"/>
          <w:i/>
          <w:iCs/>
          <w:color w:val="000000"/>
          <w:kern w:val="0"/>
          <w14:ligatures w14:val="none"/>
        </w:rPr>
        <w:t xml:space="preserve">, </w:t>
      </w:r>
      <w:r>
        <w:rPr>
          <w:rFonts w:ascii="Times New Roman" w:eastAsia="Times New Roman" w:hAnsi="Times New Roman" w:cs="Times New Roman" w:hint="eastAsia"/>
          <w:i/>
          <w:iCs/>
          <w:color w:val="000000"/>
          <w:kern w:val="0"/>
          <w:lang w:eastAsia="zh-CN"/>
          <w14:ligatures w14:val="none"/>
        </w:rPr>
        <w:t>China</w:t>
      </w:r>
    </w:p>
    <w:p w14:paraId="6E33D7CD" w14:textId="47A3C4E5" w:rsidR="00CA4C91" w:rsidRPr="00AE33FB" w:rsidRDefault="00CA4C91" w:rsidP="00CA4C91">
      <w:pPr>
        <w:spacing w:after="0" w:line="240" w:lineRule="auto"/>
        <w:jc w:val="center"/>
        <w:rPr>
          <w:rFonts w:ascii="Times New Roman" w:eastAsia="Times New Roman" w:hAnsi="Times New Roman" w:cs="Times New Roman"/>
          <w:i/>
          <w:iCs/>
          <w:color w:val="000000" w:themeColor="text1"/>
          <w:kern w:val="0"/>
          <w:lang w:eastAsia="zh-CN"/>
          <w14:ligatures w14:val="none"/>
        </w:rPr>
      </w:pPr>
      <w:r w:rsidRPr="00AE33FB">
        <w:rPr>
          <w:rFonts w:ascii="Times New Roman" w:eastAsia="Times New Roman" w:hAnsi="Times New Roman" w:cs="Times New Roman"/>
          <w:i/>
          <w:iCs/>
          <w:color w:val="000000"/>
          <w:kern w:val="0"/>
          <w14:ligatures w14:val="none"/>
        </w:rPr>
        <w:t>E–mail</w:t>
      </w:r>
      <w:r w:rsidRPr="00AE33FB">
        <w:rPr>
          <w:rFonts w:ascii="Times New Roman" w:eastAsia="Times New Roman" w:hAnsi="Times New Roman" w:cs="Times New Roman"/>
          <w:i/>
          <w:iCs/>
          <w:color w:val="000000" w:themeColor="text1"/>
          <w:kern w:val="0"/>
          <w14:ligatures w14:val="none"/>
        </w:rPr>
        <w:t>: </w:t>
      </w:r>
      <w:r w:rsidR="00AE33FB" w:rsidRPr="00AE33FB">
        <w:rPr>
          <w:rFonts w:ascii="Times New Roman" w:eastAsiaTheme="minorEastAsia" w:hAnsi="Times New Roman" w:cs="Times New Roman" w:hint="eastAsia"/>
          <w:i/>
          <w:iCs/>
          <w:kern w:val="0"/>
          <w:lang w:eastAsia="zh-CN"/>
          <w14:ligatures w14:val="none"/>
        </w:rPr>
        <w:t>xufeng-liu@qq</w:t>
      </w:r>
      <w:r w:rsidR="00AE33FB">
        <w:rPr>
          <w:rFonts w:ascii="Times New Roman" w:eastAsiaTheme="minorEastAsia" w:hAnsi="Times New Roman" w:cs="Times New Roman" w:hint="eastAsia"/>
          <w:i/>
          <w:iCs/>
          <w:kern w:val="0"/>
          <w:lang w:eastAsia="zh-CN"/>
          <w14:ligatures w14:val="none"/>
        </w:rPr>
        <w:t>.com</w:t>
      </w:r>
    </w:p>
    <w:p w14:paraId="44B1ACB4" w14:textId="77777777" w:rsidR="005E747C" w:rsidRPr="00CA4C91" w:rsidRDefault="005E747C" w:rsidP="00CA4C91">
      <w:pPr>
        <w:spacing w:after="0" w:line="240" w:lineRule="auto"/>
        <w:jc w:val="center"/>
        <w:rPr>
          <w:rFonts w:ascii="Times New Roman" w:eastAsia="Times New Roman" w:hAnsi="Times New Roman" w:cs="Times New Roman"/>
          <w:i/>
          <w:iCs/>
          <w:color w:val="000000"/>
          <w:kern w:val="0"/>
          <w:lang w:eastAsia="zh-CN"/>
          <w14:ligatures w14:val="none"/>
        </w:rPr>
      </w:pPr>
    </w:p>
    <w:p w14:paraId="42532908" w14:textId="64C935F2" w:rsidR="009C4246" w:rsidRDefault="001905FC" w:rsidP="009C4246">
      <w:pPr>
        <w:adjustRightInd w:val="0"/>
        <w:snapToGrid w:val="0"/>
        <w:spacing w:after="0" w:line="240" w:lineRule="auto"/>
        <w:ind w:firstLineChars="200" w:firstLine="480"/>
        <w:jc w:val="both"/>
        <w:rPr>
          <w:rFonts w:ascii="Times New Roman" w:eastAsiaTheme="minorEastAsia" w:hAnsi="Times New Roman" w:cs="Times New Roman"/>
          <w:color w:val="000000"/>
          <w:kern w:val="0"/>
          <w:lang w:eastAsia="zh-CN"/>
          <w14:ligatures w14:val="none"/>
        </w:rPr>
      </w:pPr>
      <w:r w:rsidRPr="001905FC">
        <w:rPr>
          <w:rFonts w:ascii="Times New Roman" w:eastAsia="Times New Roman" w:hAnsi="Times New Roman" w:cs="Times New Roman"/>
          <w:color w:val="000000"/>
          <w:kern w:val="0"/>
          <w14:ligatures w14:val="none"/>
        </w:rPr>
        <w:t>Alginate hydrogels possess excellent biocompatibility and the ability to mimic the extracellular matrix, making them promising candidates for bone tissue engineering. In this study, alginate hydrogels were prepared using various methods [1], and their properties were subsequently modified—through the incorporation of poly(3-hydroxybutyrate) (PHB) and mineralization—to enhance their potential for application in the field of bone tissue engineering.</w:t>
      </w:r>
    </w:p>
    <w:p w14:paraId="75A2691C" w14:textId="77777777" w:rsidR="001905FC" w:rsidRPr="001905FC" w:rsidRDefault="001905FC" w:rsidP="009C4246">
      <w:pPr>
        <w:adjustRightInd w:val="0"/>
        <w:snapToGrid w:val="0"/>
        <w:spacing w:after="0" w:line="240" w:lineRule="auto"/>
        <w:ind w:firstLineChars="200" w:firstLine="480"/>
        <w:jc w:val="both"/>
        <w:rPr>
          <w:rFonts w:ascii="Times New Roman" w:eastAsiaTheme="minorEastAsia" w:hAnsi="Times New Roman" w:cs="Times New Roman" w:hint="eastAsia"/>
          <w:color w:val="000000"/>
          <w:kern w:val="0"/>
          <w:lang w:eastAsia="zh-CN"/>
          <w14:ligatures w14:val="none"/>
        </w:rPr>
      </w:pPr>
    </w:p>
    <w:p w14:paraId="119C8097" w14:textId="2ED12F8C" w:rsidR="009C4246" w:rsidRDefault="001905FC" w:rsidP="009C4246">
      <w:pPr>
        <w:adjustRightInd w:val="0"/>
        <w:snapToGrid w:val="0"/>
        <w:spacing w:after="0" w:line="240" w:lineRule="auto"/>
        <w:ind w:firstLineChars="200" w:firstLine="480"/>
        <w:jc w:val="both"/>
        <w:rPr>
          <w:rFonts w:ascii="Times New Roman" w:eastAsiaTheme="minorEastAsia" w:hAnsi="Times New Roman" w:cs="Times New Roman"/>
          <w:color w:val="000000"/>
          <w:kern w:val="0"/>
          <w:lang w:eastAsia="zh-CN"/>
          <w14:ligatures w14:val="none"/>
        </w:rPr>
      </w:pPr>
      <w:r w:rsidRPr="001905FC">
        <w:rPr>
          <w:rFonts w:ascii="Times New Roman" w:eastAsia="Times New Roman" w:hAnsi="Times New Roman" w:cs="Times New Roman"/>
          <w:color w:val="000000"/>
          <w:kern w:val="0"/>
          <w14:ligatures w14:val="none"/>
        </w:rPr>
        <w:t>Alginate hydrogel films were fabricated using a newly developed simple method, while alginate hydrogel microspheres were fabricated using an electrospinning system. PHB microspheres were prepared via the oil-in-water (O/W) method. The alginate hydrogels were subsequently mineralized using the</w:t>
      </w:r>
      <w:r w:rsidR="00994344">
        <w:rPr>
          <w:rFonts w:ascii="Times New Roman" w:eastAsiaTheme="minorEastAsia" w:hAnsi="Times New Roman" w:cs="Times New Roman" w:hint="eastAsia"/>
          <w:color w:val="000000"/>
          <w:kern w:val="0"/>
          <w:lang w:eastAsia="zh-CN"/>
          <w14:ligatures w14:val="none"/>
        </w:rPr>
        <w:t xml:space="preserve"> b</w:t>
      </w:r>
      <w:r w:rsidR="00994344" w:rsidRPr="00994344">
        <w:rPr>
          <w:rFonts w:ascii="Times New Roman" w:eastAsia="Times New Roman" w:hAnsi="Times New Roman" w:cs="Times New Roman"/>
          <w:color w:val="000000"/>
          <w:kern w:val="0"/>
          <w14:ligatures w14:val="none"/>
        </w:rPr>
        <w:t xml:space="preserve">lending </w:t>
      </w:r>
      <w:r w:rsidRPr="001905FC">
        <w:rPr>
          <w:rFonts w:ascii="Times New Roman" w:eastAsia="Times New Roman" w:hAnsi="Times New Roman" w:cs="Times New Roman"/>
          <w:color w:val="000000"/>
          <w:kern w:val="0"/>
          <w14:ligatures w14:val="none"/>
        </w:rPr>
        <w:t>method and the alkaline phosphatase method [2]. Cells were encapsulated within the alginate hydrogels and cultured; their growth and differentiation were monitored to characterize the properties of the modified alginate hydrogels</w:t>
      </w:r>
      <w:r w:rsidR="00994344" w:rsidRPr="009C4246">
        <w:rPr>
          <w:rFonts w:ascii="Times New Roman" w:eastAsia="Times New Roman" w:hAnsi="Times New Roman" w:cs="Times New Roman"/>
          <w:color w:val="000000"/>
          <w:kern w:val="0"/>
          <w14:ligatures w14:val="none"/>
        </w:rPr>
        <w:t xml:space="preserve"> [3]</w:t>
      </w:r>
      <w:r w:rsidRPr="001905FC">
        <w:rPr>
          <w:rFonts w:ascii="Times New Roman" w:eastAsia="Times New Roman" w:hAnsi="Times New Roman" w:cs="Times New Roman"/>
          <w:color w:val="000000"/>
          <w:kern w:val="0"/>
          <w14:ligatures w14:val="none"/>
        </w:rPr>
        <w:t>.</w:t>
      </w:r>
    </w:p>
    <w:p w14:paraId="756C7414" w14:textId="77777777" w:rsidR="001905FC" w:rsidRPr="001905FC" w:rsidRDefault="001905FC" w:rsidP="009C4246">
      <w:pPr>
        <w:adjustRightInd w:val="0"/>
        <w:snapToGrid w:val="0"/>
        <w:spacing w:after="0" w:line="240" w:lineRule="auto"/>
        <w:ind w:firstLineChars="200" w:firstLine="480"/>
        <w:jc w:val="both"/>
        <w:rPr>
          <w:rFonts w:ascii="Times New Roman" w:eastAsiaTheme="minorEastAsia" w:hAnsi="Times New Roman" w:cs="Times New Roman" w:hint="eastAsia"/>
          <w:color w:val="000000"/>
          <w:kern w:val="0"/>
          <w:lang w:eastAsia="zh-CN"/>
          <w14:ligatures w14:val="none"/>
        </w:rPr>
      </w:pPr>
    </w:p>
    <w:p w14:paraId="041E4FF2" w14:textId="77777777" w:rsidR="00994344" w:rsidRPr="00994344" w:rsidRDefault="00994344" w:rsidP="00994344">
      <w:pPr>
        <w:adjustRightInd w:val="0"/>
        <w:snapToGrid w:val="0"/>
        <w:spacing w:after="0" w:line="240" w:lineRule="auto"/>
        <w:ind w:firstLineChars="200" w:firstLine="480"/>
        <w:jc w:val="both"/>
        <w:rPr>
          <w:rFonts w:ascii="Times New Roman" w:eastAsiaTheme="minorEastAsia" w:hAnsi="Times New Roman" w:cs="Times New Roman"/>
          <w:color w:val="000000"/>
          <w:kern w:val="0"/>
          <w:lang w:eastAsia="zh-CN"/>
          <w14:ligatures w14:val="none"/>
        </w:rPr>
      </w:pPr>
      <w:r w:rsidRPr="00994344">
        <w:rPr>
          <w:rFonts w:ascii="Times New Roman" w:eastAsiaTheme="minorEastAsia" w:hAnsi="Times New Roman" w:cs="Times New Roman"/>
          <w:color w:val="000000"/>
          <w:kern w:val="0"/>
          <w:lang w:eastAsia="zh-CN"/>
          <w14:ligatures w14:val="none"/>
        </w:rPr>
        <w:t>The results demonstrated that the PHB microsphere-incorporated and subsequently mineralized alginate hydrogel films, as well as the mineralized alginate hydrogel microspheres, exhibited favorable pro-differentiation capabilities in both general and specialized culture media.</w:t>
      </w:r>
    </w:p>
    <w:p w14:paraId="4EEFD599" w14:textId="77777777" w:rsidR="00994344" w:rsidRDefault="00994344" w:rsidP="00994344">
      <w:pPr>
        <w:adjustRightInd w:val="0"/>
        <w:snapToGrid w:val="0"/>
        <w:spacing w:after="0" w:line="240" w:lineRule="auto"/>
        <w:ind w:firstLineChars="200" w:firstLine="480"/>
        <w:jc w:val="both"/>
        <w:rPr>
          <w:rFonts w:ascii="Times New Roman" w:eastAsiaTheme="minorEastAsia" w:hAnsi="Times New Roman" w:cs="Times New Roman"/>
          <w:color w:val="000000"/>
          <w:kern w:val="0"/>
          <w:lang w:eastAsia="zh-CN"/>
          <w14:ligatures w14:val="none"/>
        </w:rPr>
      </w:pPr>
    </w:p>
    <w:p w14:paraId="740820CF" w14:textId="260FF2FD" w:rsidR="009C4246" w:rsidRPr="00994344" w:rsidRDefault="00994344" w:rsidP="00994344">
      <w:pPr>
        <w:adjustRightInd w:val="0"/>
        <w:snapToGrid w:val="0"/>
        <w:spacing w:after="0" w:line="240" w:lineRule="auto"/>
        <w:ind w:firstLineChars="200" w:firstLine="480"/>
        <w:jc w:val="both"/>
        <w:rPr>
          <w:rFonts w:ascii="Times New Roman" w:eastAsiaTheme="minorEastAsia" w:hAnsi="Times New Roman" w:cs="Times New Roman" w:hint="eastAsia"/>
          <w:color w:val="000000"/>
          <w:kern w:val="0"/>
          <w:lang w:eastAsia="zh-CN"/>
          <w14:ligatures w14:val="none"/>
        </w:rPr>
      </w:pPr>
      <w:r w:rsidRPr="00994344">
        <w:rPr>
          <w:rFonts w:ascii="Times New Roman" w:eastAsiaTheme="minorEastAsia" w:hAnsi="Times New Roman" w:cs="Times New Roman"/>
          <w:color w:val="000000"/>
          <w:kern w:val="0"/>
          <w:lang w:eastAsia="zh-CN"/>
          <w14:ligatures w14:val="none"/>
        </w:rPr>
        <w:t>The optimized preparation and modification strategies for alginate hydrogel films and microspheres lay the foundation for the development of mineralized alginate-based scaffolds for bone regeneration.</w:t>
      </w:r>
    </w:p>
    <w:p w14:paraId="798C182F" w14:textId="77777777" w:rsidR="009C4246" w:rsidRDefault="009C4246" w:rsidP="009C4246">
      <w:pPr>
        <w:spacing w:after="0" w:line="240" w:lineRule="auto"/>
        <w:jc w:val="both"/>
        <w:rPr>
          <w:rFonts w:ascii="Times New Roman" w:eastAsiaTheme="minorEastAsia" w:hAnsi="Times New Roman" w:cs="Times New Roman"/>
          <w:color w:val="000000"/>
          <w:kern w:val="0"/>
          <w:lang w:eastAsia="zh-CN"/>
          <w14:ligatures w14:val="none"/>
        </w:rPr>
      </w:pPr>
    </w:p>
    <w:p w14:paraId="2E4E1CD6" w14:textId="77777777" w:rsidR="009C4246" w:rsidRPr="009C4246" w:rsidRDefault="009C4246" w:rsidP="009C4246">
      <w:pPr>
        <w:spacing w:after="0" w:line="240" w:lineRule="auto"/>
        <w:jc w:val="both"/>
        <w:rPr>
          <w:rFonts w:ascii="Times New Roman" w:eastAsiaTheme="minorEastAsia" w:hAnsi="Times New Roman" w:cs="Times New Roman"/>
          <w:color w:val="000000"/>
          <w:kern w:val="0"/>
          <w:lang w:eastAsia="zh-CN"/>
          <w14:ligatures w14:val="none"/>
        </w:rPr>
      </w:pPr>
    </w:p>
    <w:p w14:paraId="38427876" w14:textId="7333679F" w:rsidR="00CA4C91" w:rsidRDefault="00CA4C91" w:rsidP="00CA4C91">
      <w:pPr>
        <w:spacing w:after="0" w:line="240" w:lineRule="auto"/>
        <w:jc w:val="both"/>
        <w:rPr>
          <w:rFonts w:ascii="Times New Roman" w:eastAsiaTheme="minorEastAsia" w:hAnsi="Times New Roman" w:cs="Times New Roman"/>
          <w:b/>
          <w:bCs/>
          <w:color w:val="000000"/>
          <w:kern w:val="0"/>
          <w:lang w:eastAsia="zh-CN"/>
          <w14:ligatures w14:val="none"/>
        </w:rPr>
      </w:pPr>
      <w:r w:rsidRPr="00CA4C91">
        <w:rPr>
          <w:rFonts w:ascii="Times New Roman" w:eastAsia="Times New Roman" w:hAnsi="Times New Roman" w:cs="Times New Roman"/>
          <w:b/>
          <w:bCs/>
          <w:color w:val="000000"/>
          <w:kern w:val="0"/>
          <w14:ligatures w14:val="none"/>
        </w:rPr>
        <w:t>References</w:t>
      </w:r>
    </w:p>
    <w:p w14:paraId="3711989B" w14:textId="44F209FC" w:rsidR="009C4246" w:rsidRDefault="009C4246" w:rsidP="009C4246">
      <w:pPr>
        <w:adjustRightInd w:val="0"/>
        <w:snapToGrid w:val="0"/>
        <w:spacing w:after="0" w:line="240" w:lineRule="auto"/>
        <w:rPr>
          <w:rFonts w:ascii="Times New Roman" w:hAnsi="Times New Roman" w:cs="Times New Roman"/>
        </w:rPr>
      </w:pPr>
      <w:r>
        <w:rPr>
          <w:rFonts w:ascii="Times New Roman" w:hAnsi="Times New Roman" w:cs="Times New Roman" w:hint="eastAsia"/>
          <w:lang w:eastAsia="zh-CN"/>
        </w:rPr>
        <w:t xml:space="preserve">1. </w:t>
      </w:r>
      <w:r w:rsidRPr="007C2949">
        <w:rPr>
          <w:rFonts w:ascii="Times New Roman" w:hAnsi="Times New Roman" w:cs="Times New Roman"/>
        </w:rPr>
        <w:t xml:space="preserve">Xie, M., </w:t>
      </w:r>
      <w:proofErr w:type="spellStart"/>
      <w:r w:rsidRPr="007C2949">
        <w:rPr>
          <w:rFonts w:ascii="Times New Roman" w:hAnsi="Times New Roman" w:cs="Times New Roman"/>
        </w:rPr>
        <w:t>Olderøy</w:t>
      </w:r>
      <w:proofErr w:type="spellEnd"/>
      <w:r w:rsidRPr="007C2949">
        <w:rPr>
          <w:rFonts w:ascii="Times New Roman" w:hAnsi="Times New Roman" w:cs="Times New Roman"/>
        </w:rPr>
        <w:t xml:space="preserve">, M., </w:t>
      </w:r>
      <w:r>
        <w:rPr>
          <w:rFonts w:ascii="Times New Roman" w:hAnsi="Times New Roman" w:cs="Times New Roman" w:hint="eastAsia"/>
        </w:rPr>
        <w:t>et al</w:t>
      </w:r>
      <w:r w:rsidRPr="007C2949">
        <w:rPr>
          <w:rFonts w:ascii="Times New Roman" w:hAnsi="Times New Roman" w:cs="Times New Roman"/>
        </w:rPr>
        <w:t xml:space="preserve">. Alginate-controlled formation of nanoscale calcium carbonate and hydroxyapatite mineral phase within hydrogel networks. </w:t>
      </w:r>
      <w:r w:rsidRPr="00E32205">
        <w:rPr>
          <w:rFonts w:ascii="Times New Roman" w:hAnsi="Times New Roman" w:cs="Times New Roman"/>
          <w:i/>
          <w:iCs/>
        </w:rPr>
        <w:t xml:space="preserve">Acta </w:t>
      </w:r>
      <w:proofErr w:type="spellStart"/>
      <w:r w:rsidRPr="00E32205">
        <w:rPr>
          <w:rFonts w:ascii="Times New Roman" w:hAnsi="Times New Roman" w:cs="Times New Roman"/>
          <w:i/>
          <w:iCs/>
        </w:rPr>
        <w:t>Biomater</w:t>
      </w:r>
      <w:proofErr w:type="spellEnd"/>
      <w:r w:rsidRPr="007C2949">
        <w:rPr>
          <w:rFonts w:ascii="Times New Roman" w:hAnsi="Times New Roman" w:cs="Times New Roman"/>
        </w:rPr>
        <w:t xml:space="preserve">. 2010, *6* (9), 3665–3675. </w:t>
      </w:r>
    </w:p>
    <w:p w14:paraId="39184987" w14:textId="121D8EF9" w:rsidR="009C4246" w:rsidRDefault="009C4246" w:rsidP="009C4246">
      <w:pPr>
        <w:adjustRightInd w:val="0"/>
        <w:snapToGrid w:val="0"/>
        <w:spacing w:after="0" w:line="240" w:lineRule="auto"/>
        <w:rPr>
          <w:rFonts w:ascii="Times New Roman" w:hAnsi="Times New Roman" w:cs="Times New Roman"/>
        </w:rPr>
      </w:pPr>
      <w:r>
        <w:rPr>
          <w:rFonts w:ascii="Times New Roman" w:hAnsi="Times New Roman" w:cs="Times New Roman" w:hint="eastAsia"/>
          <w:lang w:eastAsia="zh-CN"/>
        </w:rPr>
        <w:t xml:space="preserve">2. </w:t>
      </w:r>
      <w:r w:rsidRPr="002D5DBC">
        <w:rPr>
          <w:rFonts w:ascii="Times New Roman" w:hAnsi="Times New Roman" w:cs="Times New Roman"/>
        </w:rPr>
        <w:t xml:space="preserve">Nakamura, T., Nakamura-Takahashi, A., </w:t>
      </w:r>
      <w:r>
        <w:rPr>
          <w:rFonts w:ascii="Times New Roman" w:hAnsi="Times New Roman" w:cs="Times New Roman" w:hint="eastAsia"/>
        </w:rPr>
        <w:t>et al</w:t>
      </w:r>
      <w:r w:rsidRPr="002D5DBC">
        <w:rPr>
          <w:rFonts w:ascii="Times New Roman" w:hAnsi="Times New Roman" w:cs="Times New Roman"/>
        </w:rPr>
        <w:t xml:space="preserve">. (2020). Tissue-nonspecific alkaline phosphatase promotes the osteogenic differentiation of osteoprogenitor cells. </w:t>
      </w:r>
      <w:r w:rsidRPr="002D5DBC">
        <w:rPr>
          <w:rFonts w:ascii="Times New Roman" w:hAnsi="Times New Roman" w:cs="Times New Roman"/>
          <w:i/>
          <w:iCs/>
        </w:rPr>
        <w:t>Biochemical and Biophysical Research Communications</w:t>
      </w:r>
      <w:r w:rsidRPr="002D5DBC">
        <w:rPr>
          <w:rFonts w:ascii="Times New Roman" w:hAnsi="Times New Roman" w:cs="Times New Roman"/>
        </w:rPr>
        <w:t>, *524*(3), 702–709.</w:t>
      </w:r>
    </w:p>
    <w:p w14:paraId="53DD3283" w14:textId="2EE576FA" w:rsidR="009C4246" w:rsidRPr="009C4246" w:rsidRDefault="009C4246" w:rsidP="009C4246">
      <w:pPr>
        <w:adjustRightInd w:val="0"/>
        <w:snapToGrid w:val="0"/>
        <w:spacing w:after="0" w:line="240" w:lineRule="auto"/>
        <w:rPr>
          <w:rFonts w:ascii="Times New Roman" w:hAnsi="Times New Roman" w:cs="Times New Roman"/>
          <w:lang w:eastAsia="zh-CN"/>
        </w:rPr>
      </w:pPr>
      <w:r>
        <w:rPr>
          <w:rFonts w:hint="eastAsia"/>
          <w:lang w:eastAsia="zh-CN"/>
        </w:rPr>
        <w:t xml:space="preserve">3. </w:t>
      </w:r>
      <w:r w:rsidRPr="00E32205">
        <w:rPr>
          <w:rFonts w:ascii="Times New Roman" w:hAnsi="Times New Roman" w:cs="Times New Roman"/>
        </w:rPr>
        <w:t xml:space="preserve">Smith, H. L., Gray, J. C., </w:t>
      </w:r>
      <w:r>
        <w:rPr>
          <w:rFonts w:ascii="Times New Roman" w:hAnsi="Times New Roman" w:cs="Times New Roman" w:hint="eastAsia"/>
        </w:rPr>
        <w:t>et al</w:t>
      </w:r>
      <w:r w:rsidRPr="00E32205">
        <w:rPr>
          <w:rFonts w:ascii="Times New Roman" w:hAnsi="Times New Roman" w:cs="Times New Roman"/>
        </w:rPr>
        <w:t xml:space="preserve">. (2023). Tri-lineage differentiation potential of osteosarcoma cell lines and human bone marrow stromal cells from different anatomical locations. </w:t>
      </w:r>
      <w:r w:rsidRPr="00E32205">
        <w:rPr>
          <w:rFonts w:ascii="Times New Roman" w:hAnsi="Times New Roman" w:cs="Times New Roman"/>
          <w:i/>
          <w:iCs/>
        </w:rPr>
        <w:t>International Journal of Molecular Sciences</w:t>
      </w:r>
      <w:r w:rsidRPr="00E32205">
        <w:rPr>
          <w:rFonts w:ascii="Times New Roman" w:hAnsi="Times New Roman" w:cs="Times New Roman"/>
        </w:rPr>
        <w:t>, *24*(4), Article 3667.</w:t>
      </w:r>
    </w:p>
    <w:sectPr w:rsidR="009C4246" w:rsidRPr="009C4246" w:rsidSect="00F3438E">
      <w:pgSz w:w="12240" w:h="15840"/>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6B96" w14:textId="77777777" w:rsidR="00357DE1" w:rsidRDefault="00357DE1" w:rsidP="00B50334">
      <w:pPr>
        <w:spacing w:after="0" w:line="240" w:lineRule="auto"/>
      </w:pPr>
      <w:r>
        <w:separator/>
      </w:r>
    </w:p>
  </w:endnote>
  <w:endnote w:type="continuationSeparator" w:id="0">
    <w:p w14:paraId="435E5086" w14:textId="77777777" w:rsidR="00357DE1" w:rsidRDefault="00357DE1" w:rsidP="00B5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18FA" w14:textId="77777777" w:rsidR="00357DE1" w:rsidRDefault="00357DE1" w:rsidP="00B50334">
      <w:pPr>
        <w:spacing w:after="0" w:line="240" w:lineRule="auto"/>
      </w:pPr>
      <w:r>
        <w:separator/>
      </w:r>
    </w:p>
  </w:footnote>
  <w:footnote w:type="continuationSeparator" w:id="0">
    <w:p w14:paraId="31CDB801" w14:textId="77777777" w:rsidR="00357DE1" w:rsidRDefault="00357DE1" w:rsidP="00B5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101A"/>
    <w:multiLevelType w:val="hybridMultilevel"/>
    <w:tmpl w:val="D56293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305581"/>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06DD5"/>
    <w:multiLevelType w:val="multilevel"/>
    <w:tmpl w:val="C1F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E42B9"/>
    <w:multiLevelType w:val="hybridMultilevel"/>
    <w:tmpl w:val="EBC8F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C7975"/>
    <w:multiLevelType w:val="multilevel"/>
    <w:tmpl w:val="7AA4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85F67"/>
    <w:multiLevelType w:val="hybridMultilevel"/>
    <w:tmpl w:val="5C3AB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D57050D"/>
    <w:multiLevelType w:val="multilevel"/>
    <w:tmpl w:val="B4ACA7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371DE"/>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8B33E7"/>
    <w:multiLevelType w:val="hybridMultilevel"/>
    <w:tmpl w:val="C4BE5FD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2DA6B1A"/>
    <w:multiLevelType w:val="multilevel"/>
    <w:tmpl w:val="18E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4129D"/>
    <w:multiLevelType w:val="multilevel"/>
    <w:tmpl w:val="81D8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3418890">
    <w:abstractNumId w:val="2"/>
  </w:num>
  <w:num w:numId="2" w16cid:durableId="1394767464">
    <w:abstractNumId w:val="9"/>
  </w:num>
  <w:num w:numId="3" w16cid:durableId="1960649730">
    <w:abstractNumId w:val="10"/>
  </w:num>
  <w:num w:numId="4" w16cid:durableId="88963319">
    <w:abstractNumId w:val="4"/>
  </w:num>
  <w:num w:numId="5" w16cid:durableId="2018188148">
    <w:abstractNumId w:val="6"/>
  </w:num>
  <w:num w:numId="6" w16cid:durableId="1706102819">
    <w:abstractNumId w:val="7"/>
  </w:num>
  <w:num w:numId="7" w16cid:durableId="1022701851">
    <w:abstractNumId w:val="3"/>
  </w:num>
  <w:num w:numId="8" w16cid:durableId="1927108439">
    <w:abstractNumId w:val="8"/>
  </w:num>
  <w:num w:numId="9" w16cid:durableId="577832403">
    <w:abstractNumId w:val="5"/>
  </w:num>
  <w:num w:numId="10" w16cid:durableId="1779711700">
    <w:abstractNumId w:val="0"/>
  </w:num>
  <w:num w:numId="11" w16cid:durableId="23871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91"/>
    <w:rsid w:val="00012040"/>
    <w:rsid w:val="00120C4C"/>
    <w:rsid w:val="001905FC"/>
    <w:rsid w:val="001D76CD"/>
    <w:rsid w:val="00212E48"/>
    <w:rsid w:val="00260798"/>
    <w:rsid w:val="002805A3"/>
    <w:rsid w:val="00324542"/>
    <w:rsid w:val="00357DE1"/>
    <w:rsid w:val="0055708B"/>
    <w:rsid w:val="00572C28"/>
    <w:rsid w:val="0059241A"/>
    <w:rsid w:val="00592798"/>
    <w:rsid w:val="005E747C"/>
    <w:rsid w:val="00641B36"/>
    <w:rsid w:val="007E23A5"/>
    <w:rsid w:val="008D6816"/>
    <w:rsid w:val="009366AA"/>
    <w:rsid w:val="00994344"/>
    <w:rsid w:val="009C011C"/>
    <w:rsid w:val="009C4246"/>
    <w:rsid w:val="009F300E"/>
    <w:rsid w:val="00A42C01"/>
    <w:rsid w:val="00AE33FB"/>
    <w:rsid w:val="00B50334"/>
    <w:rsid w:val="00BA4913"/>
    <w:rsid w:val="00BC0EE2"/>
    <w:rsid w:val="00BF1AAD"/>
    <w:rsid w:val="00C1087F"/>
    <w:rsid w:val="00C551A7"/>
    <w:rsid w:val="00CA4C91"/>
    <w:rsid w:val="00CF1B77"/>
    <w:rsid w:val="00DC1073"/>
    <w:rsid w:val="00E64F7F"/>
    <w:rsid w:val="00F3438E"/>
    <w:rsid w:val="00FB3D5B"/>
    <w:rsid w:val="00FE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C8E7C"/>
  <w15:chartTrackingRefBased/>
  <w15:docId w15:val="{E98C87B6-3B53-6542-BE0E-B45C7F2C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4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4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4C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4C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4C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4C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4C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4C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4C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C91"/>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A4C91"/>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A4C91"/>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A4C91"/>
    <w:rPr>
      <w:rFonts w:eastAsiaTheme="majorEastAsia" w:cstheme="majorBidi"/>
      <w:i/>
      <w:iCs/>
      <w:color w:val="0F4761" w:themeColor="accent1" w:themeShade="BF"/>
    </w:rPr>
  </w:style>
  <w:style w:type="character" w:customStyle="1" w:styleId="50">
    <w:name w:val="标题 5 字符"/>
    <w:basedOn w:val="a0"/>
    <w:link w:val="5"/>
    <w:uiPriority w:val="9"/>
    <w:semiHidden/>
    <w:rsid w:val="00CA4C91"/>
    <w:rPr>
      <w:rFonts w:eastAsiaTheme="majorEastAsia" w:cstheme="majorBidi"/>
      <w:color w:val="0F4761" w:themeColor="accent1" w:themeShade="BF"/>
    </w:rPr>
  </w:style>
  <w:style w:type="character" w:customStyle="1" w:styleId="60">
    <w:name w:val="标题 6 字符"/>
    <w:basedOn w:val="a0"/>
    <w:link w:val="6"/>
    <w:uiPriority w:val="9"/>
    <w:semiHidden/>
    <w:rsid w:val="00CA4C91"/>
    <w:rPr>
      <w:rFonts w:eastAsiaTheme="majorEastAsia" w:cstheme="majorBidi"/>
      <w:i/>
      <w:iCs/>
      <w:color w:val="595959" w:themeColor="text1" w:themeTint="A6"/>
    </w:rPr>
  </w:style>
  <w:style w:type="character" w:customStyle="1" w:styleId="70">
    <w:name w:val="标题 7 字符"/>
    <w:basedOn w:val="a0"/>
    <w:link w:val="7"/>
    <w:uiPriority w:val="9"/>
    <w:semiHidden/>
    <w:rsid w:val="00CA4C91"/>
    <w:rPr>
      <w:rFonts w:eastAsiaTheme="majorEastAsia" w:cstheme="majorBidi"/>
      <w:color w:val="595959" w:themeColor="text1" w:themeTint="A6"/>
    </w:rPr>
  </w:style>
  <w:style w:type="character" w:customStyle="1" w:styleId="80">
    <w:name w:val="标题 8 字符"/>
    <w:basedOn w:val="a0"/>
    <w:link w:val="8"/>
    <w:uiPriority w:val="9"/>
    <w:semiHidden/>
    <w:rsid w:val="00CA4C91"/>
    <w:rPr>
      <w:rFonts w:eastAsiaTheme="majorEastAsia" w:cstheme="majorBidi"/>
      <w:i/>
      <w:iCs/>
      <w:color w:val="272727" w:themeColor="text1" w:themeTint="D8"/>
    </w:rPr>
  </w:style>
  <w:style w:type="character" w:customStyle="1" w:styleId="90">
    <w:name w:val="标题 9 字符"/>
    <w:basedOn w:val="a0"/>
    <w:link w:val="9"/>
    <w:uiPriority w:val="9"/>
    <w:semiHidden/>
    <w:rsid w:val="00CA4C91"/>
    <w:rPr>
      <w:rFonts w:eastAsiaTheme="majorEastAsia" w:cstheme="majorBidi"/>
      <w:color w:val="272727" w:themeColor="text1" w:themeTint="D8"/>
    </w:rPr>
  </w:style>
  <w:style w:type="paragraph" w:styleId="a3">
    <w:name w:val="Title"/>
    <w:basedOn w:val="a"/>
    <w:next w:val="a"/>
    <w:link w:val="a4"/>
    <w:uiPriority w:val="10"/>
    <w:qFormat/>
    <w:rsid w:val="00CA4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C91"/>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A4C9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A4C91"/>
    <w:pPr>
      <w:spacing w:before="160"/>
      <w:jc w:val="center"/>
    </w:pPr>
    <w:rPr>
      <w:i/>
      <w:iCs/>
      <w:color w:val="404040" w:themeColor="text1" w:themeTint="BF"/>
    </w:rPr>
  </w:style>
  <w:style w:type="character" w:customStyle="1" w:styleId="a8">
    <w:name w:val="引用 字符"/>
    <w:basedOn w:val="a0"/>
    <w:link w:val="a7"/>
    <w:uiPriority w:val="29"/>
    <w:rsid w:val="00CA4C91"/>
    <w:rPr>
      <w:i/>
      <w:iCs/>
      <w:color w:val="404040" w:themeColor="text1" w:themeTint="BF"/>
    </w:rPr>
  </w:style>
  <w:style w:type="paragraph" w:styleId="a9">
    <w:name w:val="List Paragraph"/>
    <w:basedOn w:val="a"/>
    <w:uiPriority w:val="34"/>
    <w:qFormat/>
    <w:rsid w:val="00CA4C91"/>
    <w:pPr>
      <w:ind w:left="720"/>
      <w:contextualSpacing/>
    </w:pPr>
  </w:style>
  <w:style w:type="character" w:styleId="aa">
    <w:name w:val="Intense Emphasis"/>
    <w:basedOn w:val="a0"/>
    <w:uiPriority w:val="21"/>
    <w:qFormat/>
    <w:rsid w:val="00CA4C91"/>
    <w:rPr>
      <w:i/>
      <w:iCs/>
      <w:color w:val="0F4761" w:themeColor="accent1" w:themeShade="BF"/>
    </w:rPr>
  </w:style>
  <w:style w:type="paragraph" w:styleId="ab">
    <w:name w:val="Intense Quote"/>
    <w:basedOn w:val="a"/>
    <w:next w:val="a"/>
    <w:link w:val="ac"/>
    <w:uiPriority w:val="30"/>
    <w:qFormat/>
    <w:rsid w:val="00CA4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A4C91"/>
    <w:rPr>
      <w:i/>
      <w:iCs/>
      <w:color w:val="0F4761" w:themeColor="accent1" w:themeShade="BF"/>
    </w:rPr>
  </w:style>
  <w:style w:type="character" w:styleId="ad">
    <w:name w:val="Intense Reference"/>
    <w:basedOn w:val="a0"/>
    <w:uiPriority w:val="32"/>
    <w:qFormat/>
    <w:rsid w:val="00CA4C91"/>
    <w:rPr>
      <w:b/>
      <w:bCs/>
      <w:smallCaps/>
      <w:color w:val="0F4761" w:themeColor="accent1" w:themeShade="BF"/>
      <w:spacing w:val="5"/>
    </w:rPr>
  </w:style>
  <w:style w:type="paragraph" w:styleId="ae">
    <w:name w:val="Normal (Web)"/>
    <w:basedOn w:val="a"/>
    <w:uiPriority w:val="99"/>
    <w:semiHidden/>
    <w:unhideWhenUsed/>
    <w:rsid w:val="00CA4C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CA4C91"/>
    <w:rPr>
      <w:b/>
      <w:bCs/>
    </w:rPr>
  </w:style>
  <w:style w:type="character" w:customStyle="1" w:styleId="apple-converted-space">
    <w:name w:val="apple-converted-space"/>
    <w:basedOn w:val="a0"/>
    <w:rsid w:val="00CA4C91"/>
  </w:style>
  <w:style w:type="character" w:styleId="af0">
    <w:name w:val="Hyperlink"/>
    <w:basedOn w:val="a0"/>
    <w:uiPriority w:val="99"/>
    <w:unhideWhenUsed/>
    <w:rsid w:val="00CA4C91"/>
    <w:rPr>
      <w:color w:val="0000FF"/>
      <w:u w:val="single"/>
    </w:rPr>
  </w:style>
  <w:style w:type="character" w:styleId="af1">
    <w:name w:val="Emphasis"/>
    <w:basedOn w:val="a0"/>
    <w:uiPriority w:val="20"/>
    <w:qFormat/>
    <w:rsid w:val="00CA4C91"/>
    <w:rPr>
      <w:i/>
      <w:iCs/>
    </w:rPr>
  </w:style>
  <w:style w:type="character" w:styleId="af2">
    <w:name w:val="Unresolved Mention"/>
    <w:basedOn w:val="a0"/>
    <w:uiPriority w:val="99"/>
    <w:semiHidden/>
    <w:unhideWhenUsed/>
    <w:rsid w:val="005E747C"/>
    <w:rPr>
      <w:color w:val="605E5C"/>
      <w:shd w:val="clear" w:color="auto" w:fill="E1DFDD"/>
    </w:rPr>
  </w:style>
  <w:style w:type="character" w:styleId="af3">
    <w:name w:val="Placeholder Text"/>
    <w:basedOn w:val="a0"/>
    <w:uiPriority w:val="99"/>
    <w:semiHidden/>
    <w:rsid w:val="00CF1B77"/>
    <w:rPr>
      <w:color w:val="666666"/>
    </w:rPr>
  </w:style>
  <w:style w:type="paragraph" w:styleId="af4">
    <w:name w:val="header"/>
    <w:basedOn w:val="a"/>
    <w:link w:val="af5"/>
    <w:uiPriority w:val="99"/>
    <w:unhideWhenUsed/>
    <w:rsid w:val="00B50334"/>
    <w:pPr>
      <w:tabs>
        <w:tab w:val="center" w:pos="4153"/>
        <w:tab w:val="right" w:pos="8306"/>
      </w:tabs>
      <w:snapToGrid w:val="0"/>
      <w:spacing w:line="240" w:lineRule="auto"/>
      <w:jc w:val="center"/>
    </w:pPr>
    <w:rPr>
      <w:sz w:val="18"/>
      <w:szCs w:val="18"/>
    </w:rPr>
  </w:style>
  <w:style w:type="character" w:customStyle="1" w:styleId="af5">
    <w:name w:val="页眉 字符"/>
    <w:basedOn w:val="a0"/>
    <w:link w:val="af4"/>
    <w:uiPriority w:val="99"/>
    <w:rsid w:val="00B50334"/>
    <w:rPr>
      <w:sz w:val="18"/>
      <w:szCs w:val="18"/>
    </w:rPr>
  </w:style>
  <w:style w:type="paragraph" w:styleId="af6">
    <w:name w:val="footer"/>
    <w:basedOn w:val="a"/>
    <w:link w:val="af7"/>
    <w:uiPriority w:val="99"/>
    <w:unhideWhenUsed/>
    <w:rsid w:val="00B50334"/>
    <w:pPr>
      <w:tabs>
        <w:tab w:val="center" w:pos="4153"/>
        <w:tab w:val="right" w:pos="8306"/>
      </w:tabs>
      <w:snapToGrid w:val="0"/>
      <w:spacing w:line="240" w:lineRule="auto"/>
    </w:pPr>
    <w:rPr>
      <w:sz w:val="18"/>
      <w:szCs w:val="18"/>
    </w:rPr>
  </w:style>
  <w:style w:type="character" w:customStyle="1" w:styleId="af7">
    <w:name w:val="页脚 字符"/>
    <w:basedOn w:val="a0"/>
    <w:link w:val="af6"/>
    <w:uiPriority w:val="99"/>
    <w:rsid w:val="00B503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6535">
      <w:bodyDiv w:val="1"/>
      <w:marLeft w:val="0"/>
      <w:marRight w:val="0"/>
      <w:marTop w:val="0"/>
      <w:marBottom w:val="0"/>
      <w:divBdr>
        <w:top w:val="none" w:sz="0" w:space="0" w:color="auto"/>
        <w:left w:val="none" w:sz="0" w:space="0" w:color="auto"/>
        <w:bottom w:val="none" w:sz="0" w:space="0" w:color="auto"/>
        <w:right w:val="none" w:sz="0" w:space="0" w:color="auto"/>
      </w:divBdr>
      <w:divsChild>
        <w:div w:id="625433172">
          <w:marLeft w:val="480"/>
          <w:marRight w:val="0"/>
          <w:marTop w:val="0"/>
          <w:marBottom w:val="0"/>
          <w:divBdr>
            <w:top w:val="none" w:sz="0" w:space="0" w:color="auto"/>
            <w:left w:val="none" w:sz="0" w:space="0" w:color="auto"/>
            <w:bottom w:val="none" w:sz="0" w:space="0" w:color="auto"/>
            <w:right w:val="none" w:sz="0" w:space="0" w:color="auto"/>
          </w:divBdr>
        </w:div>
        <w:div w:id="1375042702">
          <w:marLeft w:val="480"/>
          <w:marRight w:val="0"/>
          <w:marTop w:val="0"/>
          <w:marBottom w:val="0"/>
          <w:divBdr>
            <w:top w:val="none" w:sz="0" w:space="0" w:color="auto"/>
            <w:left w:val="none" w:sz="0" w:space="0" w:color="auto"/>
            <w:bottom w:val="none" w:sz="0" w:space="0" w:color="auto"/>
            <w:right w:val="none" w:sz="0" w:space="0" w:color="auto"/>
          </w:divBdr>
        </w:div>
        <w:div w:id="1798598185">
          <w:marLeft w:val="480"/>
          <w:marRight w:val="0"/>
          <w:marTop w:val="0"/>
          <w:marBottom w:val="0"/>
          <w:divBdr>
            <w:top w:val="none" w:sz="0" w:space="0" w:color="auto"/>
            <w:left w:val="none" w:sz="0" w:space="0" w:color="auto"/>
            <w:bottom w:val="none" w:sz="0" w:space="0" w:color="auto"/>
            <w:right w:val="none" w:sz="0" w:space="0" w:color="auto"/>
          </w:divBdr>
        </w:div>
        <w:div w:id="152482722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A91ED2-4F35-DC4A-87EE-EA29C5D09F41}">
  <we:reference id="wa104382081" version="1.55.1.0" store="zh-CN" storeType="OMEX"/>
  <we:alternateReferences>
    <we:reference id="WA104382081" version="1.55.1.0" store="" storeType="OMEX"/>
  </we:alternateReferences>
  <we:properties>
    <we:property name="MENDELEY_BIBLIOGRAPHY_IS_DIRTY" value="true"/>
    <we:property name="MENDELEY_BIBLIOGRAPHY_LAST_MODIFIED" value="1775291968493"/>
    <we:property name="MENDELEY_CITATIONS" value="[{&quot;citationID&quot;:&quot;MENDELEY_CITATION_5934c0c7-75b3-464c-a8d1-76d6ff98bda2&quot;,&quot;properties&quot;:{&quot;noteIndex&quot;:0},&quot;isEdited&quot;:false,&quot;manualOverride&quot;:{&quot;isManuallyOverridden&quot;:false,&quot;citeprocText&quot;:&quot;[1]&quot;,&quot;manualOverrideText&quot;:&quot;&quot;},&quot;citationTag&quot;:&quot;MENDELEY_CITATION_v3_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&quot;,&quot;citationItems&quot;:[{&quot;id&quot;:&quot;b0016454-027c-3652-9a67-a5f77df12ec5&quot;,&quot;itemData&quot;:{&quot;type&quot;:&quot;article-journal&quot;,&quot;id&quot;:&quot;b0016454-027c-3652-9a67-a5f77df12ec5&quot;,&quot;title&quot;:&quot;Natural compounds with anti-ageing activity&quot;,&quot;author&quot;:[{&quot;family&quot;:&quot;Argyropoulou&quot;,&quot;given&quot;:&quot;Aikaterini&quot;,&quot;parse-names&quot;:false,&quot;dropping-particle&quot;:&quot;&quot;,&quot;non-dropping-particle&quot;:&quot;&quot;},{&quot;family&quot;:&quot;Aligiannis&quot;,&quot;given&quot;:&quot;Nektarios&quot;,&quot;parse-names&quot;:false,&quot;dropping-particle&quot;:&quot;&quot;,&quot;non-dropping-particle&quot;:&quot;&quot;},{&quot;family&quot;:&quot;Trougakos&quot;,&quot;given&quot;:&quot;Ioannis P.&quot;,&quot;parse-names&quot;:false,&quot;dropping-particle&quot;:&quot;&quot;,&quot;non-dropping-particle&quot;:&quot;&quot;},{&quot;family&quot;:&quot;Skaltsounis&quot;,&quot;given&quot;:&quot;Alexios-Leandros&quot;,&quot;parse-names&quot;:false,&quot;dropping-particle&quot;:&quot;&quot;,&quot;non-dropping-particle&quot;:&quot;&quot;}],&quot;container-title&quot;:&quot;Natural Product Reports&quot;,&quot;container-title-short&quot;:&quot;Nat. Prod. Rep.&quot;,&quot;DOI&quot;:&quot;10.1039/c3np70031c&quot;,&quot;ISSN&quot;:&quot;0265-0568&quot;,&quot;issued&quot;:{&quot;date-parts&quot;:[[2013]]},&quot;page&quot;:&quot;1412&quot;,&quot;issue&quot;:&quot;11&quot;,&quot;volume&quot;:&quot;30&quot;},&quot;isTemporary&quot;:false}]},{&quot;citationID&quot;:&quot;MENDELEY_CITATION_585982b1-31d0-48b7-92bb-d3a5c6b91521&quot;,&quot;properties&quot;:{&quot;noteIndex&quot;:0},&quot;isEdited&quot;:false,&quot;manualOverride&quot;:{&quot;isManuallyOverridden&quot;:false,&quot;citeprocText&quot;:&quot;[2]&quot;,&quot;manualOverrideText&quot;:&quot;&quot;},&quot;citationTag&quot;:&quot;MENDELEY_CITATION_v3_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&quot;,&quot;citationItems&quot;:[{&quot;id&quot;:&quot;1647acce-4464-3c93-9ea8-42cc7967f2c9&quot;,&quot;itemData&quot;:{&quot;type&quot;:&quot;article-journal&quot;,&quot;id&quot;:&quot;1647acce-4464-3c93-9ea8-42cc7967f2c9&quot;,&quot;title&quot;:&quot;&lt;i&gt;Eucommia ulmoides&lt;/i&gt; Aqueous Extracts Attenuate Individual Markers of Glucose Induced Aging in NIH/3T3 Fibroblasts&quot;,&quot;author&quot;:[{&quot;family&quot;:&quot;Zheng&quot;,&quot;given&quot;:&quot;Qixin&quot;,&quot;parse-names&quot;:false,&quot;dropping-particle&quot;:&quot;&quot;,&quot;non-dropping-particle&quot;:&quot;&quot;},{&quot;family&quot;:&quot;Zhang&quot;,&quot;given&quot;:&quot;Xinyu&quot;,&quot;parse-names&quot;:false,&quot;dropping-particle&quot;:&quot;&quot;,&quot;non-dropping-particle&quot;:&quot;&quot;},{&quot;family&quot;:&quot;Makarova&quot;,&quot;given&quot;:&quot;Sofya&quot;,&quot;parse-names&quot;:false,&quot;dropping-particle&quot;:&quot;&quot;,&quot;non-dropping-particle&quot;:&quot;&quot;},{&quot;family&quot;:&quot;Osire&quot;,&quot;given&quot;:&quot;Tolbert&quot;,&quot;parse-names&quot;:false,&quot;dropping-particle&quot;:&quot;&quot;,&quot;non-dropping-particle&quot;:&quot;&quot;},{&quot;family&quot;:&quot;Han&quot;,&quot;given&quot;:&quot;Zhuoyan&quot;,&quot;parse-names&quot;:false,&quot;dropping-particle&quot;:&quot;&quot;,&quot;non-dropping-particle&quot;:&quot;&quot;},{&quot;family&quot;:&quot;Arkhipova&quot;,&quot;given&quot;:&quot;Anastasia&quot;,&quot;parse-names&quot;:false,&quot;dropping-particle&quot;:&quot;&quot;,&quot;non-dropping-particle&quot;:&quot;&quot;}],&quot;container-title&quot;:&quot;Microscopy and Microanalysis&quot;,&quot;DOI&quot;:&quot;10.1093/mam/ozae044.423&quot;,&quot;ISSN&quot;:&quot;1431-9276&quot;,&quot;issued&quot;:{&quot;date-parts&quot;:[[2024,7,24]]},&quot;issue&quot;:&quot;Supplement_1&quot;,&quot;volume&quot;:&quot;30&quot;,&quot;container-title-short&quot;:&quot;&quot;},&quot;isTemporary&quot;:false}]},{&quot;citationID&quot;:&quot;MENDELEY_CITATION_da93abfe-b170-4507-8675-62443d4b5836&quot;,&quot;properties&quot;:{&quot;noteIndex&quot;:0},&quot;isEdited&quot;:false,&quot;manualOverride&quot;:{&quot;isManuallyOverridden&quot;:false,&quot;citeprocText&quot;:&quot;[3]&quot;,&quot;manualOverrideText&quot;:&quot;&quot;},&quot;citationTag&quot;:&quot;MENDELEY_CITATION_v3_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&quot;,&quot;citationItems&quot;:[{&quot;id&quot;:&quot;bb0fb1be-91e7-3bc6-9e1b-f7172b16498e&quot;,&quot;itemData&quot;:{&quot;type&quot;:&quot;article-journal&quot;,&quot;id&quot;:&quot;bb0fb1be-91e7-3bc6-9e1b-f7172b16498e&quot;,&quot;title&quot;:&quot;Bioactive food components for managing cellular senescence in aging and disease: A critical appraisal and perspectives&quot;,&quot;author&quot;:[{&quot;family&quot;:&quot;Sharma&quot;,&quot;given&quot;:&quot;Rohit&quot;,&quot;parse-names&quot;:false,&quot;dropping-particle&quot;:&quot;&quot;,&quot;non-dropping-particle&quot;:&quot;&quot;}],&quot;container-title&quot;:&quot;PharmaNutrition&quot;,&quot;container-title-short&quot;:&quot;PharmaNutrition&quot;,&quot;DOI&quot;:&quot;10.1016/j.phanu.2021.100281&quot;,&quot;ISSN&quot;:&quot;22134344&quot;,&quot;issued&quot;:{&quot;date-parts&quot;:[[2021,12]]},&quot;page&quot;:&quot;100281&quot;,&quot;volume&quot;:&quot;18&quot;},&quot;isTemporary&quot;:false}]},{&quot;citationID&quot;:&quot;MENDELEY_CITATION_4a0bccaa-6d92-41c8-86cf-03cfefd3b81c&quot;,&quot;properties&quot;:{&quot;noteIndex&quot;:0},&quot;isEdited&quot;:false,&quot;manualOverride&quot;:{&quot;isManuallyOverridden&quot;:false,&quot;citeprocText&quot;:&quot;[4]&quot;,&quot;manualOverrideText&quot;:&quot;&quot;},&quot;citationTag&quot;:&quot;MENDELEY_CITATION_v3_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&quot;,&quot;citationItems&quot;:[{&quot;id&quot;:&quot;b0c5ab2f-964c-3b95-9ce5-516dae3596ba&quot;,&quot;itemData&quot;:{&quot;type&quot;:&quot;article-journal&quot;,&quot;id&quot;:&quot;b0c5ab2f-964c-3b95-9ce5-516dae3596ba&quot;,&quot;title&quot;:&quot;High glucose-induced replicative senescence: point of no return and effect of telomerase&quot;,&quot;author&quot;:[{&quot;family&quot;:&quot;Blazer&quot;,&quot;given&quot;:&quot;Shraga&quot;,&quot;parse-names&quot;:false,&quot;dropping-particle&quot;:&quot;&quot;,&quot;non-dropping-particle&quot;:&quot;&quot;},{&quot;family&quot;:&quot;Khankin&quot;,&quot;given&quot;:&quot;Eli&quot;,&quot;parse-names&quot;:false,&quot;dropping-particle&quot;:&quot;&quot;,&quot;non-dropping-particle&quot;:&quot;&quot;},{&quot;family&quot;:&quot;Segev&quot;,&quot;given&quot;:&quot;Yardena&quot;,&quot;parse-names&quot;:false,&quot;dropping-particle&quot;:&quot;&quot;,&quot;non-dropping-particle&quot;:&quot;&quot;},{&quot;family&quot;:&quot;Ofir&quot;,&quot;given&quot;:&quot;Rachel&quot;,&quot;parse-names&quot;:false,&quot;dropping-particle&quot;:&quot;&quot;,&quot;non-dropping-particle&quot;:&quot;&quot;},{&quot;family&quot;:&quot;Yalon-Hacohen&quot;,&quot;given&quot;:&quot;Michal&quot;,&quot;parse-names&quot;:false,&quot;dropping-particle&quot;:&quot;&quot;,&quot;non-dropping-particle&quot;:&quot;&quot;},{&quot;family&quot;:&quot;Kra-Oz&quot;,&quot;given&quot;:&quot;Zipora&quot;,&quot;parse-names&quot;:false,&quot;dropping-particle&quot;:&quot;&quot;,&quot;non-dropping-particle&quot;:&quot;&quot;},{&quot;family&quot;:&quot;Gottfried&quot;,&quot;given&quot;:&quot;Yossi&quot;,&quot;parse-names&quot;:false,&quot;dropping-particle&quot;:&quot;&quot;,&quot;non-dropping-particle&quot;:&quot;&quot;},{&quot;family&quot;:&quot;Larisch&quot;,&quot;given&quot;:&quot;Sarit&quot;,&quot;parse-names&quot;:false,&quot;dropping-particle&quot;:&quot;&quot;,&quot;non-dropping-particle&quot;:&quot;&quot;},{&quot;family&quot;:&quot;Skorecki&quot;,&quot;given&quot;:&quot;Karl L&quot;,&quot;parse-names&quot;:false,&quot;dropping-particle&quot;:&quot;&quot;,&quot;non-dropping-particle&quot;:&quot;&quot;}],&quot;container-title&quot;:&quot;Biochemical and Biophysical Research Communications&quot;,&quot;container-title-short&quot;:&quot;Biochem. Biophys. Res. Commun.&quot;,&quot;DOI&quot;:&quot;10.1016/S0006-291X(02)00818-5&quot;,&quot;ISSN&quot;:&quot;0006291X&quot;,&quot;issued&quot;:{&quot;date-parts&quot;:[[2002,8]]},&quot;page&quot;:&quot;93-101&quot;,&quot;issue&quot;:&quot;1&quot;,&quot;volume&quot;:&quot;296&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30A5F-FE1E-704B-9E6A-88B1664B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Bozdaganyan</dc:creator>
  <cp:keywords/>
  <dc:description/>
  <cp:lastModifiedBy>旭枫 刘</cp:lastModifiedBy>
  <cp:revision>6</cp:revision>
  <dcterms:created xsi:type="dcterms:W3CDTF">2026-04-05T05:50:00Z</dcterms:created>
  <dcterms:modified xsi:type="dcterms:W3CDTF">2026-04-05T11:58:00Z</dcterms:modified>
</cp:coreProperties>
</file>