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AC4A">
      <w:pPr>
        <w:spacing w:after="0" w:line="240" w:lineRule="auto"/>
        <w:outlineLvl w:val="0"/>
        <w:rPr>
          <w:rFonts w:ascii="Times New Roman" w:hAnsi="Times New Roman" w:eastAsia="Times New Roman" w:cs="Times New Roman"/>
          <w:color w:val="000000"/>
          <w:kern w:val="36"/>
          <w:u w:val="single"/>
          <w:lang w:val="ru-RU"/>
          <w14:ligatures w14:val="none"/>
        </w:rPr>
      </w:pPr>
    </w:p>
    <w:p w14:paraId="2FA135EE">
      <w:pPr>
        <w:spacing w:after="0" w:line="240" w:lineRule="auto"/>
        <w:jc w:val="center"/>
        <w:rPr>
          <w:rFonts w:ascii="Times New Roman" w:hAnsi="Times New Roman" w:eastAsia="Times New Roman" w:cs="Times New Roman"/>
          <w:b/>
          <w:bCs/>
          <w:i/>
          <w:iCs/>
          <w:color w:val="000000"/>
          <w:kern w:val="0"/>
          <w14:ligatures w14:val="none"/>
        </w:rPr>
      </w:pPr>
      <w:r>
        <w:rPr>
          <w:rFonts w:hint="eastAsia" w:ascii="Times New Roman" w:hAnsi="Times New Roman" w:eastAsia="Times New Roman" w:cs="Times New Roman"/>
          <w:b/>
          <w:bCs/>
          <w:color w:val="000000"/>
          <w:kern w:val="0"/>
          <w14:ligatures w14:val="none"/>
        </w:rPr>
        <w:t>The use of hybrid guide RNAs to change gene expression using epigenetic editors</w:t>
      </w:r>
    </w:p>
    <w:p w14:paraId="454431BC">
      <w:pPr>
        <w:spacing w:after="0" w:line="240" w:lineRule="auto"/>
        <w:jc w:val="center"/>
        <w:rPr>
          <w:rFonts w:hint="eastAsia" w:ascii="Times New Roman" w:hAnsi="Times New Roman" w:eastAsia="宋体" w:cs="Times New Roman"/>
          <w:i/>
          <w:iCs/>
          <w:color w:val="000000"/>
          <w:kern w:val="0"/>
          <w:lang w:val="en-US" w:eastAsia="zh-CN"/>
          <w14:ligatures w14:val="none"/>
        </w:rPr>
      </w:pPr>
      <w:r>
        <w:rPr>
          <w:rFonts w:hint="eastAsia" w:ascii="Times New Roman" w:hAnsi="Times New Roman" w:eastAsia="宋体" w:cs="Times New Roman"/>
          <w:b/>
          <w:bCs/>
          <w:i/>
          <w:iCs/>
          <w:color w:val="000000"/>
          <w:kern w:val="0"/>
          <w:lang w:val="en-US" w:eastAsia="zh-CN"/>
          <w14:ligatures w14:val="none"/>
        </w:rPr>
        <w:t>Ma Xiaonan</w:t>
      </w:r>
    </w:p>
    <w:p w14:paraId="5F44A8C2">
      <w:pPr>
        <w:spacing w:after="0" w:line="240" w:lineRule="auto"/>
        <w:jc w:val="center"/>
        <w:rPr>
          <w:rFonts w:hint="default" w:ascii="Times New Roman" w:hAnsi="Times New Roman" w:eastAsia="宋体" w:cs="Times New Roman"/>
          <w:i/>
          <w:iCs/>
          <w:color w:val="000000"/>
          <w:kern w:val="0"/>
          <w:lang w:val="en-US" w:eastAsia="zh-CN"/>
          <w14:ligatures w14:val="none"/>
        </w:rPr>
      </w:pPr>
      <w:r>
        <w:rPr>
          <w:rFonts w:hint="eastAsia" w:ascii="Times New Roman" w:hAnsi="Times New Roman" w:eastAsia="宋体" w:cs="Times New Roman"/>
          <w:i/>
          <w:iCs/>
          <w:color w:val="000000"/>
          <w:kern w:val="0"/>
          <w:lang w:val="en-US" w:eastAsia="zh-CN"/>
          <w14:ligatures w14:val="none"/>
        </w:rPr>
        <w:t>Master student</w:t>
      </w:r>
    </w:p>
    <w:p w14:paraId="53856FE0">
      <w:pPr>
        <w:spacing w:after="0" w:line="240" w:lineRule="auto"/>
        <w:jc w:val="center"/>
        <w:rPr>
          <w:rFonts w:hint="default" w:ascii="Times New Roman" w:hAnsi="Times New Roman" w:eastAsia="宋体" w:cs="Times New Roman"/>
          <w:i/>
          <w:iCs/>
          <w:color w:val="000000"/>
          <w:kern w:val="0"/>
          <w:lang w:val="en-US" w:eastAsia="zh-CN"/>
          <w14:ligatures w14:val="none"/>
        </w:rPr>
      </w:pPr>
      <w:r>
        <w:rPr>
          <w:rFonts w:hint="default" w:ascii="Times New Roman" w:hAnsi="Times New Roman" w:eastAsia="宋体" w:cs="Times New Roman"/>
          <w:i/>
          <w:iCs/>
          <w:color w:val="000000"/>
          <w:kern w:val="0"/>
          <w:lang w:val="en-US" w:eastAsia="zh-CN"/>
          <w14:ligatures w14:val="none"/>
        </w:rPr>
        <w:t>Shenzhen MSU-BIT University</w:t>
      </w:r>
      <w:r>
        <w:rPr>
          <w:rFonts w:hint="eastAsia" w:ascii="Times New Roman" w:hAnsi="Times New Roman" w:eastAsia="宋体" w:cs="Times New Roman"/>
          <w:i/>
          <w:iCs/>
          <w:color w:val="000000"/>
          <w:kern w:val="0"/>
          <w:lang w:val="en-US" w:eastAsia="zh-CN"/>
          <w14:ligatures w14:val="none"/>
        </w:rPr>
        <w:t xml:space="preserve">, </w:t>
      </w:r>
      <w:r>
        <w:rPr>
          <w:rFonts w:ascii="Times New Roman" w:hAnsi="Times New Roman" w:eastAsia="Times New Roman" w:cs="Times New Roman"/>
          <w:i/>
          <w:iCs/>
          <w:color w:val="000000"/>
          <w:kern w:val="0"/>
          <w14:ligatures w14:val="none"/>
        </w:rPr>
        <w:t xml:space="preserve">Faculty of </w:t>
      </w:r>
      <w:r>
        <w:rPr>
          <w:rFonts w:hint="eastAsia" w:ascii="Times New Roman" w:hAnsi="Times New Roman" w:eastAsia="宋体" w:cs="Times New Roman"/>
          <w:i/>
          <w:iCs/>
          <w:color w:val="000000"/>
          <w:kern w:val="0"/>
          <w:lang w:val="en-US" w:eastAsia="zh-CN"/>
          <w14:ligatures w14:val="none"/>
        </w:rPr>
        <w:t>Biology</w:t>
      </w:r>
      <w:r>
        <w:rPr>
          <w:rFonts w:ascii="Times New Roman" w:hAnsi="Times New Roman" w:eastAsia="Times New Roman" w:cs="Times New Roman"/>
          <w:i/>
          <w:iCs/>
          <w:color w:val="000000"/>
          <w:kern w:val="0"/>
          <w14:ligatures w14:val="none"/>
        </w:rPr>
        <w:t xml:space="preserve">, </w:t>
      </w:r>
      <w:r>
        <w:rPr>
          <w:rFonts w:hint="eastAsia" w:ascii="Times New Roman" w:hAnsi="Times New Roman" w:eastAsia="宋体" w:cs="Times New Roman"/>
          <w:i/>
          <w:iCs/>
          <w:color w:val="000000"/>
          <w:kern w:val="0"/>
          <w:lang w:val="en-US" w:eastAsia="zh-CN"/>
          <w14:ligatures w14:val="none"/>
        </w:rPr>
        <w:t>Shenzhen</w:t>
      </w:r>
      <w:r>
        <w:rPr>
          <w:rFonts w:ascii="Times New Roman" w:hAnsi="Times New Roman" w:eastAsia="Times New Roman" w:cs="Times New Roman"/>
          <w:i/>
          <w:iCs/>
          <w:color w:val="000000"/>
          <w:kern w:val="0"/>
          <w14:ligatures w14:val="none"/>
        </w:rPr>
        <w:t xml:space="preserve">, </w:t>
      </w:r>
      <w:r>
        <w:rPr>
          <w:rFonts w:hint="eastAsia" w:ascii="Times New Roman" w:hAnsi="Times New Roman" w:eastAsia="宋体" w:cs="Times New Roman"/>
          <w:i/>
          <w:iCs/>
          <w:color w:val="000000"/>
          <w:kern w:val="0"/>
          <w:lang w:val="en-US" w:eastAsia="zh-CN"/>
          <w14:ligatures w14:val="none"/>
        </w:rPr>
        <w:t>China</w:t>
      </w:r>
    </w:p>
    <w:p w14:paraId="4DF545CD">
      <w:pPr>
        <w:spacing w:after="0" w:line="240" w:lineRule="auto"/>
        <w:jc w:val="center"/>
        <w:rPr>
          <w:rFonts w:hint="eastAsia" w:ascii="Times New Roman" w:hAnsi="Times New Roman" w:eastAsia="宋体" w:cs="Times New Roman"/>
          <w:i/>
          <w:iCs/>
          <w:color w:val="000000" w:themeColor="text1"/>
          <w:kern w:val="0"/>
          <w:lang w:val="en-US" w:eastAsia="zh-CN"/>
          <w14:textFill>
            <w14:solidFill>
              <w14:schemeClr w14:val="tx1"/>
            </w14:solidFill>
          </w14:textFill>
          <w14:ligatures w14:val="none"/>
        </w:rPr>
      </w:pPr>
      <w:r>
        <w:rPr>
          <w:rFonts w:ascii="Times New Roman" w:hAnsi="Times New Roman" w:eastAsia="Times New Roman" w:cs="Times New Roman"/>
          <w:i/>
          <w:iCs/>
          <w:color w:val="000000"/>
          <w:kern w:val="0"/>
          <w14:ligatures w14:val="none"/>
        </w:rPr>
        <w:t>E–mail</w:t>
      </w:r>
      <w:r>
        <w:rPr>
          <w:rFonts w:ascii="Times New Roman" w:hAnsi="Times New Roman" w:eastAsia="Times New Roman" w:cs="Times New Roman"/>
          <w:i/>
          <w:iCs/>
          <w:color w:val="000000" w:themeColor="text1"/>
          <w:kern w:val="0"/>
          <w14:textFill>
            <w14:solidFill>
              <w14:schemeClr w14:val="tx1"/>
            </w14:solidFill>
          </w14:textFill>
          <w14:ligatures w14:val="none"/>
        </w:rPr>
        <w:t>: </w:t>
      </w:r>
      <w:r>
        <w:rPr>
          <w:rFonts w:hint="eastAsia" w:ascii="Times New Roman" w:hAnsi="Times New Roman" w:eastAsia="宋体" w:cs="Times New Roman"/>
          <w:i/>
          <w:iCs/>
          <w:color w:val="000000" w:themeColor="text1"/>
          <w:kern w:val="0"/>
          <w:lang w:val="en-US" w:eastAsia="zh-CN"/>
          <w14:textFill>
            <w14:solidFill>
              <w14:schemeClr w14:val="tx1"/>
            </w14:solidFill>
          </w14:textFill>
          <w14:ligatures w14:val="none"/>
        </w:rPr>
        <w:fldChar w:fldCharType="begin"/>
      </w:r>
      <w:r>
        <w:rPr>
          <w:rFonts w:hint="eastAsia" w:ascii="Times New Roman" w:hAnsi="Times New Roman" w:eastAsia="宋体" w:cs="Times New Roman"/>
          <w:i/>
          <w:iCs/>
          <w:color w:val="000000" w:themeColor="text1"/>
          <w:kern w:val="0"/>
          <w:lang w:val="en-US" w:eastAsia="zh-CN"/>
          <w14:textFill>
            <w14:solidFill>
              <w14:schemeClr w14:val="tx1"/>
            </w14:solidFill>
          </w14:textFill>
          <w14:ligatures w14:val="none"/>
        </w:rPr>
        <w:instrText xml:space="preserve"> HYPERLINK "mailto:2120240049@smbu.edu.cn" </w:instrText>
      </w:r>
      <w:r>
        <w:rPr>
          <w:rFonts w:hint="eastAsia" w:ascii="Times New Roman" w:hAnsi="Times New Roman" w:eastAsia="宋体" w:cs="Times New Roman"/>
          <w:i/>
          <w:iCs/>
          <w:color w:val="000000" w:themeColor="text1"/>
          <w:kern w:val="0"/>
          <w:lang w:val="en-US" w:eastAsia="zh-CN"/>
          <w14:textFill>
            <w14:solidFill>
              <w14:schemeClr w14:val="tx1"/>
            </w14:solidFill>
          </w14:textFill>
          <w14:ligatures w14:val="none"/>
        </w:rPr>
        <w:fldChar w:fldCharType="separate"/>
      </w:r>
      <w:r>
        <w:rPr>
          <w:rStyle w:val="20"/>
          <w:rFonts w:hint="eastAsia" w:ascii="Times New Roman" w:hAnsi="Times New Roman" w:eastAsia="宋体" w:cs="Times New Roman"/>
          <w:i/>
          <w:iCs/>
          <w:kern w:val="0"/>
          <w:lang w:val="en-US" w:eastAsia="zh-CN"/>
          <w14:ligatures w14:val="none"/>
        </w:rPr>
        <w:t>2120240049@smbu.edu.cn</w:t>
      </w:r>
      <w:r>
        <w:rPr>
          <w:rFonts w:hint="eastAsia" w:ascii="Times New Roman" w:hAnsi="Times New Roman" w:eastAsia="宋体" w:cs="Times New Roman"/>
          <w:i/>
          <w:iCs/>
          <w:color w:val="000000" w:themeColor="text1"/>
          <w:kern w:val="0"/>
          <w:lang w:val="en-US" w:eastAsia="zh-CN"/>
          <w14:textFill>
            <w14:solidFill>
              <w14:schemeClr w14:val="tx1"/>
            </w14:solidFill>
          </w14:textFill>
          <w14:ligatures w14:val="none"/>
        </w:rPr>
        <w:fldChar w:fldCharType="end"/>
      </w:r>
    </w:p>
    <w:p w14:paraId="18D9D3CC">
      <w:pPr>
        <w:spacing w:after="0" w:line="240" w:lineRule="auto"/>
        <w:jc w:val="both"/>
        <w:rPr>
          <w:rFonts w:hint="default" w:ascii="Times New Roman" w:hAnsi="Times New Roman" w:eastAsia="宋体" w:cs="Times New Roman"/>
          <w:i/>
          <w:iCs/>
          <w:color w:val="000000" w:themeColor="text1"/>
          <w:kern w:val="0"/>
          <w:lang w:val="en-US" w:eastAsia="zh-CN"/>
          <w14:textFill>
            <w14:solidFill>
              <w14:schemeClr w14:val="tx1"/>
            </w14:solidFill>
          </w14:textFill>
          <w14:ligatures w14:val="none"/>
        </w:rPr>
      </w:pPr>
    </w:p>
    <w:p w14:paraId="7C460446">
      <w:pPr>
        <w:keepNext w:val="0"/>
        <w:keepLines w:val="0"/>
        <w:pageBreakBefore w:val="0"/>
        <w:widowControl/>
        <w:kinsoku/>
        <w:wordWrap/>
        <w:overflowPunct/>
        <w:topLinePunct w:val="0"/>
        <w:autoSpaceDE/>
        <w:autoSpaceDN/>
        <w:bidi w:val="0"/>
        <w:adjustRightInd/>
        <w:snapToGrid/>
        <w:spacing w:after="0" w:line="240" w:lineRule="auto"/>
        <w:ind w:firstLine="397" w:firstLineChars="0"/>
        <w:jc w:val="both"/>
        <w:textAlignment w:val="auto"/>
        <w:rPr>
          <w:rFonts w:ascii="Times New Roman" w:hAnsi="Times New Roman" w:cs="Times New Roman"/>
          <w:sz w:val="24"/>
          <w:szCs w:val="24"/>
        </w:rPr>
      </w:pPr>
      <w:r>
        <w:rPr>
          <w:rFonts w:ascii="Times New Roman" w:hAnsi="Times New Roman" w:cs="Times New Roman"/>
          <w:sz w:val="24"/>
          <w:szCs w:val="24"/>
        </w:rPr>
        <w:t>In the last decade, the CRISPR-Cas technology has gained widespread popularity in different fields from genome editing and detecting specific DNA/RNA sequences to gene expression control①. Nevertheless, some c</w:t>
      </w:r>
      <w:bookmarkStart w:id="0" w:name="_GoBack"/>
      <w:bookmarkEnd w:id="0"/>
      <w:r>
        <w:rPr>
          <w:rFonts w:ascii="Times New Roman" w:hAnsi="Times New Roman" w:cs="Times New Roman"/>
          <w:sz w:val="24"/>
          <w:szCs w:val="24"/>
        </w:rPr>
        <w:t>hallenges remain, such as the risk of immunological reactions or off-target effects. To overcome these problems, we explored the innovative application of hybrid guide RNAs (gRNAs) in conjunction with epigenetic editors to precisely control gene expression ②.</w:t>
      </w:r>
    </w:p>
    <w:p w14:paraId="482F9D24">
      <w:pPr>
        <w:keepNext w:val="0"/>
        <w:keepLines w:val="0"/>
        <w:pageBreakBefore w:val="0"/>
        <w:widowControl/>
        <w:kinsoku/>
        <w:wordWrap/>
        <w:overflowPunct/>
        <w:topLinePunct w:val="0"/>
        <w:autoSpaceDE/>
        <w:autoSpaceDN/>
        <w:bidi w:val="0"/>
        <w:adjustRightInd/>
        <w:snapToGrid/>
        <w:spacing w:after="0" w:line="240" w:lineRule="auto"/>
        <w:ind w:firstLine="397" w:firstLineChars="0"/>
        <w:jc w:val="both"/>
        <w:textAlignment w:val="auto"/>
        <w:rPr>
          <w:rFonts w:ascii="Times New Roman" w:hAnsi="Times New Roman" w:cs="Times New Roman"/>
          <w:sz w:val="24"/>
          <w:szCs w:val="24"/>
        </w:rPr>
      </w:pPr>
      <w:r>
        <w:rPr>
          <w:rFonts w:ascii="Times New Roman" w:hAnsi="Times New Roman" w:cs="Times New Roman"/>
          <w:sz w:val="24"/>
          <w:szCs w:val="24"/>
        </w:rPr>
        <w:t>A hybrid dual-sgRNA system without DNA cleavage was designed</w:t>
      </w:r>
      <w:r>
        <w:rPr>
          <w:rFonts w:hint="eastAsia" w:ascii="Times New Roman" w:hAnsi="Times New Roman" w:eastAsia="宋体" w:cs="Times New Roman"/>
          <w:sz w:val="24"/>
          <w:szCs w:val="24"/>
          <w:lang w:val="en-US" w:eastAsia="zh-CN"/>
        </w:rPr>
        <w:t xml:space="preserve"> in this research</w:t>
      </w: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Each hybrid sgRNA pair consists of a standard scaffold, a fixed HBV target sequence, and a 3′ randomized extension (10/15/20 nt) to mediate</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RNA–RNA interactions for recruiting catalytically dead Cas (dCas)–epigenetic effector fusions</w:t>
      </w:r>
      <w:r>
        <w:rPr>
          <w:rFonts w:hint="default" w:ascii="Calibri" w:hAnsi="Calibri" w:cs="Calibri"/>
          <w:sz w:val="24"/>
          <w:szCs w:val="24"/>
        </w:rPr>
        <w:t>③</w:t>
      </w:r>
      <w:r>
        <w:rPr>
          <w:rFonts w:ascii="Times New Roman" w:hAnsi="Times New Roman" w:cs="Times New Roman"/>
          <w:sz w:val="24"/>
          <w:szCs w:val="24"/>
        </w:rPr>
        <w:t xml:space="preserve">. </w:t>
      </w:r>
      <w:r>
        <w:rPr>
          <w:rFonts w:hint="eastAsia" w:ascii="Times New Roman" w:hAnsi="Times New Roman" w:eastAsia="宋体" w:cs="Times New Roman"/>
          <w:sz w:val="24"/>
          <w:szCs w:val="24"/>
          <w:lang w:val="en-US" w:eastAsia="zh-CN"/>
        </w:rPr>
        <w:t xml:space="preserve">An </w:t>
      </w:r>
      <w:r>
        <w:rPr>
          <w:rFonts w:ascii="Times New Roman" w:hAnsi="Times New Roman" w:cs="Times New Roman"/>
          <w:sz w:val="24"/>
          <w:szCs w:val="24"/>
        </w:rPr>
        <w:t>sgRNA library</w:t>
      </w:r>
      <w:r>
        <w:rPr>
          <w:rFonts w:hint="eastAsia" w:ascii="Times New Roman" w:hAnsi="Times New Roman" w:eastAsia="宋体" w:cs="Times New Roman"/>
          <w:sz w:val="24"/>
          <w:szCs w:val="24"/>
          <w:lang w:val="en-US" w:eastAsia="zh-CN"/>
        </w:rPr>
        <w:t xml:space="preserve"> was constructed</w:t>
      </w:r>
      <w:r>
        <w:rPr>
          <w:rFonts w:ascii="Times New Roman" w:hAnsi="Times New Roman" w:cs="Times New Roman"/>
          <w:sz w:val="24"/>
          <w:szCs w:val="24"/>
        </w:rPr>
        <w:t xml:space="preserve"> using BsaI/BbsI cloning with the pBAD inducible promoter, performed cell-based screening for functional hybrid sgRNA pairs, and validated the system with a three-plasmid reporter assay, where high GFP </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fluorescence indicated efficient TetR blockage.</w:t>
      </w:r>
    </w:p>
    <w:p w14:paraId="3E786EFF">
      <w:pPr>
        <w:keepNext w:val="0"/>
        <w:keepLines w:val="0"/>
        <w:pageBreakBefore w:val="0"/>
        <w:widowControl/>
        <w:kinsoku/>
        <w:wordWrap/>
        <w:overflowPunct/>
        <w:topLinePunct w:val="0"/>
        <w:autoSpaceDE/>
        <w:autoSpaceDN/>
        <w:bidi w:val="0"/>
        <w:adjustRightInd/>
        <w:snapToGrid/>
        <w:spacing w:after="0" w:line="240" w:lineRule="auto"/>
        <w:ind w:firstLine="397" w:firstLineChars="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The results confirmed that we successfully constructed the library, screened stable kissing-loop hybrid sgRNAs, and achieved specific recruitment of dCas proteins to the target sites. This hybrid guide RNA platform enables safe and specific epigenetic regulation of HBV cccDNA without generating DNA double-strand breaks, providing a reliable experimental basis and novel strategy for regulating gene expression using hybrid guide RNAs combined with epigenetic editors</w:t>
      </w:r>
      <w:r>
        <w:rPr>
          <w:rFonts w:hint="eastAsia" w:ascii="微软雅黑" w:hAnsi="微软雅黑" w:eastAsia="微软雅黑" w:cs="微软雅黑"/>
          <w:sz w:val="24"/>
          <w:szCs w:val="24"/>
        </w:rPr>
        <w:t>⑤</w:t>
      </w:r>
      <w:r>
        <w:rPr>
          <w:rFonts w:hint="eastAsia" w:ascii="Times New Roman" w:hAnsi="Times New Roman" w:cs="Times New Roman"/>
          <w:sz w:val="24"/>
          <w:szCs w:val="24"/>
        </w:rPr>
        <w:t>.</w:t>
      </w:r>
    </w:p>
    <w:p w14:paraId="65BEF913">
      <w:pPr>
        <w:spacing w:after="0"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b/>
          <w:bCs/>
          <w:color w:val="000000"/>
          <w:kern w:val="0"/>
          <w14:ligatures w14:val="none"/>
        </w:rPr>
        <w:t>References</w:t>
      </w:r>
    </w:p>
    <w:p w14:paraId="62F5ED65">
      <w:pPr>
        <w:pStyle w:val="3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lang w:val="en-US" w:eastAsia="zh-CN"/>
          <w14:ligatures w14:val="none"/>
        </w:rPr>
        <w:t>Shaytan AK, Novikov RV, Vinnikov RS, Gribkova AK, Glukhov GS. From DNA-protein interactions to the genetic circuit design using CRISPR-dCas systems. Front Mol Biosci. 2022 Dec 14;9:1070526. doi: 10.3389/fmolb.2022.1070526. PMID: 36589238; PMCID: PMC9795063.</w:t>
      </w:r>
    </w:p>
    <w:p w14:paraId="6FC87D3B">
      <w:pPr>
        <w:pStyle w:val="3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Hryhorowicz M, Lipiński D, Zeyland J. Evolution of CRISPR/Cas Systems for Precise Genome Editing. Int J Mol Sci. 2023 Sep 18;24(18):14233. doi: 10.3390/ijms241814233. PMID: 37762535; PMCID: PMC10532350.</w:t>
      </w:r>
    </w:p>
    <w:p w14:paraId="4FAA7BA3">
      <w:pPr>
        <w:pStyle w:val="34"/>
        <w:numPr>
          <w:ilvl w:val="0"/>
          <w:numId w:val="1"/>
        </w:numPr>
        <w:spacing w:after="0" w:line="240" w:lineRule="auto"/>
        <w:jc w:val="both"/>
        <w:rPr>
          <w:rFonts w:hint="eastAsia"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Chen, X., Xu, F., Zhu, C.</w:t>
      </w:r>
      <w:r>
        <w:rPr>
          <w:rFonts w:hint="default" w:ascii="Times New Roman" w:hAnsi="Times New Roman" w:eastAsia="Times New Roman" w:cs="Times New Roman"/>
          <w:color w:val="000000"/>
          <w:kern w:val="0"/>
          <w14:ligatures w14:val="none"/>
        </w:rPr>
        <w:t> et al. Dual sgRNA-directed gene knockout using CRISPR/Cas9 technology in Caenorhabditis elegans. Sci Rep 4, 7581 (2014). https://doi.org/10.1038/srep07581</w:t>
      </w:r>
      <w:r>
        <w:rPr>
          <w:rFonts w:hint="eastAsia" w:ascii="Times New Roman" w:hAnsi="Times New Roman" w:eastAsia="宋体" w:cs="Times New Roman"/>
          <w:color w:val="000000"/>
          <w:kern w:val="0"/>
          <w:lang w:val="en-US" w:eastAsia="zh-CN"/>
          <w14:ligatures w14:val="none"/>
        </w:rPr>
        <w:t>.</w:t>
      </w:r>
    </w:p>
    <w:p w14:paraId="61B8469E">
      <w:pPr>
        <w:pStyle w:val="34"/>
        <w:numPr>
          <w:ilvl w:val="0"/>
          <w:numId w:val="1"/>
        </w:numPr>
        <w:spacing w:after="0" w:line="240" w:lineRule="auto"/>
        <w:jc w:val="both"/>
        <w:rPr>
          <w:rFonts w:hint="eastAsia"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Kumar A, Combe E, Mougené L, Zoulim F, Testoni B. Applications of CRISPR/Cas as a Toolbox for Hepatitis B Virus Detection and Therapeutics. Viruses. 2024 Oct 2;16(10):1565. doi: 10.3390/v16101565. PMID: 39459899; PMCID: PMC11512240.</w:t>
      </w:r>
    </w:p>
    <w:p w14:paraId="49FFD341">
      <w:pPr>
        <w:pStyle w:val="34"/>
        <w:numPr>
          <w:ilvl w:val="0"/>
          <w:numId w:val="0"/>
        </w:numPr>
        <w:spacing w:after="0" w:line="240" w:lineRule="auto"/>
        <w:ind w:left="360" w:leftChars="0"/>
        <w:jc w:val="both"/>
        <w:rPr>
          <w:rFonts w:ascii="Times New Roman" w:hAnsi="Times New Roman" w:cs="Times New Roman"/>
        </w:rPr>
      </w:pPr>
      <w:r>
        <w:rPr>
          <w:rFonts w:hint="eastAsia" w:ascii="Times New Roman" w:hAnsi="Times New Roman" w:eastAsia="Times New Roman" w:cs="Times New Roman"/>
          <w:color w:val="000000"/>
          <w:kern w:val="0"/>
          <w:lang w:val="ru-RU"/>
          <w14:ligatures w14:val="none"/>
        </w:rPr>
        <w:br w:type="textWrapping"/>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宋体"/>
    <w:panose1 w:val="020B0004020202020204"/>
    <w:charset w:val="86"/>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ptos">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05581"/>
    <w:multiLevelType w:val="multilevel"/>
    <w:tmpl w:val="16305581"/>
    <w:lvl w:ilvl="0" w:tentative="0">
      <w:start w:val="1"/>
      <w:numFmt w:val="decimal"/>
      <w:lvlText w:val="%1."/>
      <w:lvlJc w:val="left"/>
      <w:pPr>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1"/>
    <w:rsid w:val="0055708B"/>
    <w:rsid w:val="00572C28"/>
    <w:rsid w:val="00592798"/>
    <w:rsid w:val="00641B36"/>
    <w:rsid w:val="009C011C"/>
    <w:rsid w:val="009F300E"/>
    <w:rsid w:val="00BA4913"/>
    <w:rsid w:val="00BC0EE2"/>
    <w:rsid w:val="00CA4C91"/>
    <w:rsid w:val="041A2F36"/>
    <w:rsid w:val="10063DE9"/>
    <w:rsid w:val="19510D51"/>
    <w:rsid w:val="1E430E84"/>
    <w:rsid w:val="2577447C"/>
    <w:rsid w:val="314A56E6"/>
    <w:rsid w:val="3325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15">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semiHidden/>
    <w:unhideWhenUsed/>
    <w:qFormat/>
    <w:uiPriority w:val="99"/>
    <w:rPr>
      <w:color w:val="0000FF"/>
      <w:u w:val="single"/>
    </w:rPr>
  </w:style>
  <w:style w:type="character" w:customStyle="1" w:styleId="21">
    <w:name w:val="Heading 1 Char"/>
    <w:basedOn w:val="17"/>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7"/>
    <w:link w:val="3"/>
    <w:semiHidden/>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7"/>
    <w:link w:val="4"/>
    <w:semiHidden/>
    <w:uiPriority w:val="9"/>
    <w:rPr>
      <w:rFonts w:eastAsiaTheme="majorEastAsia" w:cstheme="majorBidi"/>
      <w:color w:val="104862" w:themeColor="accent1" w:themeShade="BF"/>
      <w:sz w:val="28"/>
      <w:szCs w:val="28"/>
    </w:rPr>
  </w:style>
  <w:style w:type="character" w:customStyle="1" w:styleId="24">
    <w:name w:val="Heading 4 Char"/>
    <w:basedOn w:val="17"/>
    <w:link w:val="5"/>
    <w:semiHidden/>
    <w:qFormat/>
    <w:uiPriority w:val="9"/>
    <w:rPr>
      <w:rFonts w:eastAsiaTheme="majorEastAsia" w:cstheme="majorBidi"/>
      <w:i/>
      <w:iCs/>
      <w:color w:val="104862" w:themeColor="accent1" w:themeShade="BF"/>
    </w:rPr>
  </w:style>
  <w:style w:type="character" w:customStyle="1" w:styleId="25">
    <w:name w:val="Heading 5 Char"/>
    <w:basedOn w:val="17"/>
    <w:link w:val="6"/>
    <w:semiHidden/>
    <w:qFormat/>
    <w:uiPriority w:val="9"/>
    <w:rPr>
      <w:rFonts w:eastAsiaTheme="majorEastAsia" w:cstheme="majorBidi"/>
      <w:color w:val="104862" w:themeColor="accent1" w:themeShade="BF"/>
    </w:rPr>
  </w:style>
  <w:style w:type="character" w:customStyle="1" w:styleId="26">
    <w:name w:val="Heading 6 Char"/>
    <w:basedOn w:val="17"/>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7"/>
    <w:link w:val="15"/>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7"/>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7"/>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7"/>
    <w:link w:val="36"/>
    <w:qFormat/>
    <w:uiPriority w:val="30"/>
    <w:rPr>
      <w:i/>
      <w:iCs/>
      <w:color w:val="104862" w:themeColor="accent1" w:themeShade="BF"/>
    </w:rPr>
  </w:style>
  <w:style w:type="character" w:customStyle="1" w:styleId="38">
    <w:name w:val="Intense Reference"/>
    <w:basedOn w:val="17"/>
    <w:qFormat/>
    <w:uiPriority w:val="32"/>
    <w:rPr>
      <w:b/>
      <w:bCs/>
      <w:smallCaps/>
      <w:color w:val="104862" w:themeColor="accent1" w:themeShade="BF"/>
      <w:spacing w:val="5"/>
    </w:rPr>
  </w:style>
  <w:style w:type="character" w:customStyle="1" w:styleId="39">
    <w:name w:val="apple-converted-space"/>
    <w:basedOn w:val="1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2249</Characters>
  <Lines>64</Lines>
  <Paragraphs>18</Paragraphs>
  <TotalTime>7</TotalTime>
  <ScaleCrop>false</ScaleCrop>
  <LinksUpToDate>false</LinksUpToDate>
  <CharactersWithSpaces>2590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2026-04-03T14:58:00Z</dcterms:created>
  <dc:creator>Marine Bozdaganyan</dc:creator>
  <cp:lastModifiedBy> 立夏</cp:lastModifiedBy>
  <dcterms:modified xsi:type="dcterms:W3CDTF">2026-04-06T07:52:19Z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eyJoZGlkIjoiN2ZiMWU4NjE2ZThjZWFmNTIyNjY1N2Y2MGM4NGU0YzgiLCJ1c2VySWQiOiIxMTM2NDQxNjc4In0=</vt:lpwstr>
  </property>
  <property fmtid="{D5CDD505-2E9C-101B-9397-08002B2CF9AE}" pid="3" name="KSOProductBuildVer">
    <vt:lpwstr>2052-12.1.0.25225</vt:lpwstr>
  </property>
  <property fmtid="{D5CDD505-2E9C-101B-9397-08002B2CF9AE}" pid="4" name="ICV">
    <vt:lpwstr>2700CBBADDC94F4895543C59589D440E_13</vt:lpwstr>
  </property>
</Properties>
</file>