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3D95B">
      <w:pPr>
        <w:spacing w:after="0" w:line="240" w:lineRule="auto"/>
        <w:jc w:val="center"/>
        <w:rPr>
          <w:rFonts w:ascii="Times New Roman" w:hAnsi="Times New Roman" w:eastAsia="Times New Roman" w:cs="Times New Roman"/>
          <w:b/>
          <w:bCs/>
          <w:color w:val="000000"/>
          <w:kern w:val="0"/>
          <w14:ligatures w14:val="none"/>
        </w:rPr>
      </w:pPr>
      <w:r>
        <w:rPr>
          <w:rFonts w:ascii="Times New Roman" w:hAnsi="Times New Roman" w:eastAsia="Times New Roman" w:cs="Times New Roman"/>
          <w:b/>
          <w:bCs/>
          <w:color w:val="000000"/>
          <w:kern w:val="0"/>
          <w14:ligatures w14:val="none"/>
        </w:rPr>
        <w:t>Activity of double CRISPR/Cas systems in vitro studied with SpdCas9</w:t>
      </w:r>
    </w:p>
    <w:p w14:paraId="6E65AAFE">
      <w:pPr>
        <w:spacing w:after="0" w:line="240" w:lineRule="auto"/>
        <w:jc w:val="center"/>
        <w:rPr>
          <w:rFonts w:ascii="Times New Roman" w:hAnsi="Times New Roman" w:eastAsia="Times New Roman" w:cs="Times New Roman"/>
          <w:b/>
          <w:bCs/>
          <w:i/>
          <w:iCs/>
          <w:color w:val="000000"/>
          <w:kern w:val="0"/>
          <w14:ligatures w14:val="none"/>
        </w:rPr>
      </w:pPr>
      <w:r>
        <w:rPr>
          <w:rFonts w:ascii="Times New Roman" w:hAnsi="Times New Roman" w:eastAsia="Times New Roman" w:cs="Times New Roman"/>
          <w:b/>
          <w:bCs/>
          <w:i/>
          <w:iCs/>
          <w:color w:val="000000"/>
          <w:kern w:val="0"/>
          <w14:ligatures w14:val="none"/>
        </w:rPr>
        <w:t>Sun Ruijia</w:t>
      </w:r>
    </w:p>
    <w:p w14:paraId="1200DDBA">
      <w:pPr>
        <w:spacing w:after="0" w:line="240" w:lineRule="auto"/>
        <w:jc w:val="center"/>
        <w:rPr>
          <w:rFonts w:hint="default" w:ascii="Times New Roman" w:hAnsi="Times New Roman" w:eastAsia="Times New Roman" w:cs="Times New Roman"/>
          <w:i/>
          <w:iCs/>
          <w:color w:val="000000"/>
          <w:kern w:val="0"/>
          <w:lang w:val="en-US"/>
          <w14:ligatures w14:val="none"/>
        </w:rPr>
      </w:pPr>
      <w:r>
        <w:rPr>
          <w:rFonts w:hint="default" w:ascii="Times New Roman" w:hAnsi="Times New Roman" w:eastAsia="Times New Roman" w:cs="Times New Roman"/>
          <w:i/>
          <w:iCs/>
          <w:color w:val="000000"/>
          <w:kern w:val="0"/>
          <w:lang w:val="en-US"/>
          <w14:ligatures w14:val="none"/>
        </w:rPr>
        <w:t>PhD student</w:t>
      </w:r>
    </w:p>
    <w:p w14:paraId="20923F0A">
      <w:pPr>
        <w:spacing w:after="0" w:line="240" w:lineRule="auto"/>
        <w:jc w:val="center"/>
        <w:rPr>
          <w:rFonts w:ascii="Times New Roman" w:hAnsi="Times New Roman" w:eastAsia="Times New Roman" w:cs="Times New Roman"/>
          <w:i/>
          <w:iCs/>
          <w:color w:val="000000"/>
          <w:kern w:val="0"/>
          <w14:ligatures w14:val="none"/>
        </w:rPr>
      </w:pPr>
      <w:r>
        <w:rPr>
          <w:rFonts w:ascii="Times New Roman" w:hAnsi="Times New Roman" w:eastAsia="Times New Roman" w:cs="Times New Roman"/>
          <w:i/>
          <w:iCs/>
          <w:color w:val="000000"/>
          <w:kern w:val="0"/>
          <w14:ligatures w14:val="none"/>
        </w:rPr>
        <w:t>Lomonosov Moscow State University</w:t>
      </w:r>
      <w:r>
        <w:rPr>
          <w:rFonts w:ascii="Times New Roman" w:hAnsi="Times New Roman" w:eastAsia="Times New Roman" w:cs="Times New Roman"/>
          <w:i/>
          <w:iCs/>
          <w:color w:val="000000"/>
          <w:kern w:val="0"/>
          <w14:ligatures w14:val="none"/>
        </w:rPr>
        <w:br w:type="textWrapping"/>
      </w:r>
      <w:bookmarkStart w:id="0" w:name="_GoBack"/>
      <w:bookmarkEnd w:id="0"/>
      <w:r>
        <w:rPr>
          <w:rFonts w:ascii="Times New Roman" w:hAnsi="Times New Roman" w:eastAsia="Times New Roman" w:cs="Times New Roman"/>
          <w:i/>
          <w:iCs/>
          <w:color w:val="000000"/>
          <w:kern w:val="0"/>
          <w14:ligatures w14:val="none"/>
        </w:rPr>
        <w:t xml:space="preserve">Faculty of </w:t>
      </w:r>
      <w:r>
        <w:rPr>
          <w:rFonts w:hint="default" w:ascii="Times New Roman" w:hAnsi="Times New Roman" w:eastAsia="Times New Roman" w:cs="Times New Roman"/>
          <w:i/>
          <w:iCs/>
          <w:color w:val="000000"/>
          <w:kern w:val="0"/>
          <w:lang w:val="en-US"/>
          <w14:ligatures w14:val="none"/>
        </w:rPr>
        <w:t>Biology</w:t>
      </w:r>
      <w:r>
        <w:rPr>
          <w:rFonts w:ascii="Times New Roman" w:hAnsi="Times New Roman" w:eastAsia="Times New Roman" w:cs="Times New Roman"/>
          <w:i/>
          <w:iCs/>
          <w:color w:val="000000"/>
          <w:kern w:val="0"/>
          <w14:ligatures w14:val="none"/>
        </w:rPr>
        <w:t>, Moscow, Russia</w:t>
      </w:r>
    </w:p>
    <w:p w14:paraId="7D97610C">
      <w:pPr>
        <w:spacing w:after="0" w:line="240" w:lineRule="auto"/>
        <w:jc w:val="center"/>
        <w:rPr>
          <w:rFonts w:hint="default" w:ascii="Times New Roman" w:hAnsi="Times New Roman" w:eastAsia="Times New Roman" w:cs="Times New Roman"/>
          <w:i/>
          <w:iCs/>
          <w:color w:val="000000"/>
          <w:kern w:val="0"/>
          <w:lang w:val="en-US"/>
          <w14:ligatures w14:val="none"/>
        </w:rPr>
      </w:pPr>
      <w:r>
        <w:rPr>
          <w:rFonts w:ascii="Times New Roman" w:hAnsi="Times New Roman" w:eastAsia="Times New Roman" w:cs="Times New Roman"/>
          <w:i/>
          <w:iCs/>
          <w:color w:val="000000"/>
          <w:kern w:val="0"/>
          <w14:ligatures w14:val="none"/>
        </w:rPr>
        <w:t>E–mail</w:t>
      </w:r>
      <w:r>
        <w:rPr>
          <w:rFonts w:ascii="Times New Roman" w:hAnsi="Times New Roman" w:eastAsia="Times New Roman" w:cs="Times New Roman"/>
          <w:i/>
          <w:iCs/>
          <w:color w:val="000000" w:themeColor="text1"/>
          <w:kern w:val="0"/>
          <w14:textFill>
            <w14:solidFill>
              <w14:schemeClr w14:val="tx1"/>
            </w14:solidFill>
          </w14:textFill>
          <w14:ligatures w14:val="none"/>
        </w:rPr>
        <w:t>: </w:t>
      </w:r>
      <w:r>
        <w:rPr>
          <w:rFonts w:hint="default" w:ascii="Times New Roman" w:hAnsi="Times New Roman" w:eastAsia="Times New Roman" w:cs="Times New Roman"/>
          <w:i/>
          <w:iCs/>
          <w:color w:val="000000" w:themeColor="text1"/>
          <w:kern w:val="0"/>
          <w:lang w:val="en-US"/>
          <w14:textFill>
            <w14:solidFill>
              <w14:schemeClr w14:val="tx1"/>
            </w14:solidFill>
          </w14:textFill>
          <w14:ligatures w14:val="none"/>
        </w:rPr>
        <w:t>sunruijia1113</w:t>
      </w:r>
      <w:r>
        <w:rPr>
          <w:rFonts w:ascii="Times New Roman" w:hAnsi="Times New Roman" w:eastAsia="Times New Roman" w:cs="Times New Roman"/>
          <w:i/>
          <w:iCs/>
          <w:color w:val="000000" w:themeColor="text1"/>
          <w:kern w:val="0"/>
          <w14:textFill>
            <w14:solidFill>
              <w14:schemeClr w14:val="tx1"/>
            </w14:solidFill>
          </w14:textFill>
          <w14:ligatures w14:val="none"/>
        </w:rPr>
        <w:t>@</w:t>
      </w:r>
      <w:r>
        <w:rPr>
          <w:rFonts w:hint="default" w:ascii="Times New Roman" w:hAnsi="Times New Roman" w:eastAsia="Times New Roman" w:cs="Times New Roman"/>
          <w:i/>
          <w:iCs/>
          <w:color w:val="000000" w:themeColor="text1"/>
          <w:kern w:val="0"/>
          <w:lang w:val="en-US"/>
          <w14:textFill>
            <w14:solidFill>
              <w14:schemeClr w14:val="tx1"/>
            </w14:solidFill>
          </w14:textFill>
          <w14:ligatures w14:val="none"/>
        </w:rPr>
        <w:t>gmail</w:t>
      </w:r>
      <w:r>
        <w:rPr>
          <w:rFonts w:ascii="Times New Roman" w:hAnsi="Times New Roman" w:eastAsia="Times New Roman" w:cs="Times New Roman"/>
          <w:i/>
          <w:iCs/>
          <w:color w:val="000000" w:themeColor="text1"/>
          <w:kern w:val="0"/>
          <w14:textFill>
            <w14:solidFill>
              <w14:schemeClr w14:val="tx1"/>
            </w14:solidFill>
          </w14:textFill>
          <w14:ligatures w14:val="none"/>
        </w:rPr>
        <w:t>.</w:t>
      </w:r>
      <w:r>
        <w:rPr>
          <w:rFonts w:hint="default" w:ascii="Times New Roman" w:hAnsi="Times New Roman" w:eastAsia="Times New Roman" w:cs="Times New Roman"/>
          <w:i/>
          <w:iCs/>
          <w:color w:val="000000" w:themeColor="text1"/>
          <w:kern w:val="0"/>
          <w:lang w:val="en-US"/>
          <w14:textFill>
            <w14:solidFill>
              <w14:schemeClr w14:val="tx1"/>
            </w14:solidFill>
          </w14:textFill>
          <w14:ligatures w14:val="none"/>
        </w:rPr>
        <w:t>com</w:t>
      </w:r>
    </w:p>
    <w:p w14:paraId="4C147219">
      <w:pPr>
        <w:spacing w:after="0" w:line="240" w:lineRule="auto"/>
        <w:ind w:left="0" w:leftChars="0" w:firstLine="218" w:firstLineChars="104"/>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CRISPR/Cas systems have revolutionized genome editing, providing precise and efficient genetic modifications</w:t>
      </w:r>
      <w:r>
        <w:rPr>
          <w:rFonts w:hint="default" w:ascii="Times New Roman" w:hAnsi="Times New Roman" w:eastAsia="Times New Roman" w:cs="Times New Roman"/>
          <w:color w:val="000000"/>
          <w:kern w:val="0"/>
          <w:lang w:val="en-US"/>
          <w14:ligatures w14:val="none"/>
        </w:rPr>
        <w:t>[1]</w:t>
      </w:r>
      <w:r>
        <w:rPr>
          <w:rFonts w:ascii="Times New Roman" w:hAnsi="Times New Roman" w:eastAsia="Times New Roman" w:cs="Times New Roman"/>
          <w:color w:val="000000"/>
          <w:kern w:val="0"/>
          <w14:ligatures w14:val="none"/>
        </w:rPr>
        <w:t>. Among these, double CRISPR/Cas systems which employ two guide RNAs (sgRNAs) simultaneously hold significant potential for enhancing editing efficiency and specificity</w:t>
      </w:r>
      <w:r>
        <w:rPr>
          <w:rFonts w:hint="default" w:ascii="Times New Roman" w:hAnsi="Times New Roman" w:eastAsia="Times New Roman" w:cs="Times New Roman"/>
          <w:color w:val="000000"/>
          <w:kern w:val="0"/>
          <w:lang w:val="en-US"/>
          <w14:ligatures w14:val="none"/>
        </w:rPr>
        <w:t>[2][3]</w:t>
      </w:r>
      <w:r>
        <w:rPr>
          <w:rFonts w:ascii="Times New Roman" w:hAnsi="Times New Roman" w:eastAsia="Times New Roman" w:cs="Times New Roman"/>
          <w:color w:val="000000"/>
          <w:kern w:val="0"/>
          <w14:ligatures w14:val="none"/>
        </w:rPr>
        <w:t>. Despite its potential, the efficiency and precision of CRISPRi systems in human cells remain a challenge limiting their widespread application in both research and therapeutic settings</w:t>
      </w:r>
      <w:r>
        <w:rPr>
          <w:rFonts w:hint="default" w:ascii="Times New Roman" w:hAnsi="Times New Roman" w:eastAsia="Times New Roman" w:cs="Times New Roman"/>
          <w:color w:val="000000"/>
          <w:kern w:val="0"/>
          <w:lang w:val="en-US"/>
          <w14:ligatures w14:val="none"/>
        </w:rPr>
        <w:t>[4]</w:t>
      </w:r>
      <w:r>
        <w:rPr>
          <w:rFonts w:ascii="Times New Roman" w:hAnsi="Times New Roman" w:eastAsia="Times New Roman" w:cs="Times New Roman"/>
          <w:color w:val="000000"/>
          <w:kern w:val="0"/>
          <w14:ligatures w14:val="none"/>
        </w:rPr>
        <w:t>. The study aims to optimize the dual-guide RNA dCas9 system for enhanced CRISPR interference (CRISPRi) and activation (CRISPRa) applications using E. coli, HEK-GPF and K562 cell</w:t>
      </w:r>
      <w:r>
        <w:rPr>
          <w:rFonts w:hint="eastAsia" w:ascii="Times New Roman" w:hAnsi="Times New Roman" w:eastAsia="Times New Roman" w:cs="Times New Roman"/>
          <w:color w:val="000000"/>
          <w:kern w:val="0"/>
          <w14:ligatures w14:val="none"/>
        </w:rPr>
        <w:t xml:space="preserve"> line</w:t>
      </w:r>
      <w:r>
        <w:rPr>
          <w:rFonts w:ascii="Times New Roman" w:hAnsi="Times New Roman" w:eastAsia="Times New Roman" w:cs="Times New Roman"/>
          <w:color w:val="000000"/>
          <w:kern w:val="0"/>
          <w14:ligatures w14:val="none"/>
        </w:rPr>
        <w:t>s</w:t>
      </w:r>
      <w:r>
        <w:rPr>
          <w:rFonts w:hint="default" w:ascii="Times New Roman" w:hAnsi="Times New Roman" w:eastAsia="Times New Roman" w:cs="Times New Roman"/>
          <w:color w:val="000000"/>
          <w:kern w:val="0"/>
          <w:lang w:val="en-US"/>
          <w14:ligatures w14:val="none"/>
        </w:rPr>
        <w:t>[5]</w:t>
      </w:r>
      <w:r>
        <w:rPr>
          <w:rFonts w:ascii="Times New Roman" w:hAnsi="Times New Roman" w:eastAsia="Times New Roman" w:cs="Times New Roman"/>
          <w:color w:val="000000"/>
          <w:kern w:val="0"/>
          <w14:ligatures w14:val="none"/>
        </w:rPr>
        <w:t>. To improve CRISPR</w:t>
      </w:r>
      <w:r>
        <w:rPr>
          <w:rFonts w:hint="default" w:ascii="Times New Roman" w:hAnsi="Times New Roman" w:eastAsia="Times New Roman" w:cs="Times New Roman"/>
          <w:color w:val="000000"/>
          <w:kern w:val="0"/>
          <w:lang w:val="en-US"/>
          <w14:ligatures w14:val="none"/>
        </w:rPr>
        <w:t xml:space="preserve"> Cas</w:t>
      </w:r>
      <w:r>
        <w:rPr>
          <w:rFonts w:ascii="Times New Roman" w:hAnsi="Times New Roman" w:eastAsia="Times New Roman" w:cs="Times New Roman"/>
          <w:color w:val="000000"/>
          <w:kern w:val="0"/>
          <w14:ligatures w14:val="none"/>
        </w:rPr>
        <w:t xml:space="preserve"> efficiency, I develop</w:t>
      </w:r>
      <w:r>
        <w:rPr>
          <w:rFonts w:hint="default" w:ascii="Times New Roman" w:hAnsi="Times New Roman" w:eastAsia="Times New Roman" w:cs="Times New Roman"/>
          <w:color w:val="000000"/>
          <w:kern w:val="0"/>
          <w:lang w:val="en-US"/>
          <w14:ligatures w14:val="none"/>
        </w:rPr>
        <w:t>ed</w:t>
      </w:r>
      <w:r>
        <w:rPr>
          <w:rFonts w:ascii="Times New Roman" w:hAnsi="Times New Roman" w:eastAsia="Times New Roman" w:cs="Times New Roman"/>
          <w:color w:val="000000"/>
          <w:kern w:val="0"/>
          <w14:ligatures w14:val="none"/>
        </w:rPr>
        <w:t xml:space="preserve"> novel dual sgRNA architectures using RNA kissing-loop motifs to promote efficient binding</w:t>
      </w:r>
      <w:r>
        <w:rPr>
          <w:rFonts w:hint="eastAsia" w:ascii="Times New Roman" w:hAnsi="Times New Roman" w:eastAsia="Times New Roman" w:cs="Times New Roman"/>
          <w:color w:val="000000"/>
          <w:kern w:val="0"/>
          <w14:ligatures w14:val="none"/>
        </w:rPr>
        <w:t xml:space="preserve"> and compare its efficiency with dual dCas9-simple sgRNA system</w:t>
      </w:r>
      <w:r>
        <w:rPr>
          <w:rFonts w:hint="default" w:ascii="Times New Roman" w:hAnsi="Times New Roman" w:eastAsia="Times New Roman" w:cs="Times New Roman"/>
          <w:color w:val="000000"/>
          <w:kern w:val="0"/>
          <w:lang w:val="en-US"/>
          <w14:ligatures w14:val="none"/>
        </w:rPr>
        <w:t xml:space="preserve">. </w:t>
      </w:r>
      <w:r>
        <w:rPr>
          <w:rFonts w:hint="eastAsia" w:ascii="Times New Roman" w:hAnsi="Times New Roman" w:eastAsia="Times New Roman" w:cs="Times New Roman"/>
          <w:color w:val="000000"/>
          <w:kern w:val="0"/>
          <w14:ligatures w14:val="none"/>
        </w:rPr>
        <w:t>In this study, we successfully established a model system to evaluate CRISPR-dCas9 activity by targeting the EF1-α promoter region in cells stably expressing GFP. Both dual sgRNA constructs—simple and kissing-loop—were successfully designed and constructed. The dCas9 protein showed efficient transfection and high expression in HEK293T and K562 cells, confirming the suitability of the system for downstream analysis. Functional assays revealed that while both sgRNA systems effectively repressed GFP expression, the dual kissing-loop sgRNA configuration significantly enhanced transcriptional repression compared to the dual simple sgRNA. These findings demonstrate that incorporating a kissing-loop structure into the sgRNA scaffold can improve the efficiency of CRISPR-dCas9-mediated gene regulation, offering a promising approach for future applications in gene silencing and synthetic biology.</w:t>
      </w:r>
    </w:p>
    <w:p w14:paraId="38427876">
      <w:pPr>
        <w:spacing w:after="0" w:line="240" w:lineRule="auto"/>
        <w:ind w:left="0" w:leftChars="0" w:firstLine="219" w:firstLineChars="104"/>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b/>
          <w:bCs/>
          <w:color w:val="000000"/>
          <w:kern w:val="0"/>
          <w14:ligatures w14:val="none"/>
        </w:rPr>
        <w:t>References</w:t>
      </w:r>
    </w:p>
    <w:p w14:paraId="691409DA">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Knott G. J., Doudna J. A. CRISPR-Cas guides the future of genetic engineering. //Science, 2018. 361(6405): 866-869</w:t>
      </w:r>
      <w:r>
        <w:rPr>
          <w:rFonts w:ascii="Times New Roman" w:hAnsi="Times New Roman" w:eastAsia="Times New Roman" w:cs="Times New Roman"/>
          <w:color w:val="000000"/>
          <w:kern w:val="0"/>
          <w14:ligatures w14:val="none"/>
        </w:rPr>
        <w:t>.</w:t>
      </w:r>
    </w:p>
    <w:p w14:paraId="40CAD8DF">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Jinek M., Chylinski K., Fonfara I., Hauer M., Doudna J. A., Charpentier E. A programmable dual-RNA-guided DNA endonuclease in adaptive bacterial immunity. //Science, 2012. 337(6096): 816-821</w:t>
      </w:r>
      <w:r>
        <w:rPr>
          <w:rFonts w:ascii="Times New Roman" w:hAnsi="Times New Roman" w:eastAsia="Times New Roman" w:cs="Times New Roman"/>
          <w:color w:val="000000"/>
          <w:kern w:val="0"/>
          <w14:ligatures w14:val="none"/>
        </w:rPr>
        <w:t>.</w:t>
      </w:r>
    </w:p>
    <w:p w14:paraId="048099C6">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Mutsuro-Aoki H., Tamura K. Acquisition of Dual Ribozyme-Functions in Nonfunctional Short Hairpin RNAs through Kissing-Loop Interactions. //Life (Basel), 2022. 12(10)</w:t>
      </w:r>
      <w:r>
        <w:rPr>
          <w:rFonts w:ascii="Times New Roman" w:hAnsi="Times New Roman" w:eastAsia="Times New Roman" w:cs="Times New Roman"/>
          <w:color w:val="000000"/>
          <w:kern w:val="0"/>
          <w14:ligatures w14:val="none"/>
        </w:rPr>
        <w:t>.</w:t>
      </w:r>
    </w:p>
    <w:p w14:paraId="0EEF8D3A">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Larson M. H., Gilbert L. A., Wang X., Lim W. A., Weissman J. S., Qi L. S. CRISPR interference (CRISPRi) for sequence-specific control of gene expression. //Nat Protoc, 2013. 8(11): 2180-2196</w:t>
      </w:r>
    </w:p>
    <w:p w14:paraId="24869F85">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Kampmann M. CRISPRi and CRISPRa Screens in Mammalian Cells for Precision Biology and Medicine. //ACS Chem Biol, 2018. 13(2): 406-416</w:t>
      </w:r>
    </w:p>
    <w:p w14:paraId="49FFD341">
      <w:pPr>
        <w:spacing w:line="240" w:lineRule="auto"/>
        <w:jc w:val="both"/>
        <w:rPr>
          <w:rFonts w:ascii="Times New Roman" w:hAnsi="Times New Roman" w:cs="Times New Roman"/>
        </w:rPr>
      </w:pPr>
    </w:p>
    <w:p w14:paraId="23799BF5"/>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05581"/>
    <w:multiLevelType w:val="multilevel"/>
    <w:tmpl w:val="16305581"/>
    <w:lvl w:ilvl="0" w:tentative="0">
      <w:start w:val="1"/>
      <w:numFmt w:val="decimal"/>
      <w:lvlText w:val="%1."/>
      <w:lvlJc w:val="left"/>
      <w:pPr>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63DA2"/>
    <w:rsid w:val="7D363DA2"/>
    <w:rsid w:val="9FDFD03A"/>
    <w:rsid w:val="AEA90DFA"/>
    <w:rsid w:val="FDFD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2026-04-06T22:40:00Z</dcterms:created>
  <dc:creator>SRJ</dc:creator>
  <cp:lastModifiedBy>SRJ</cp:lastModifiedBy>
  <dcterms:modified xsi:type="dcterms:W3CDTF">2026-04-06T23:09:30Z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5F22C7C7AA82DCE3FAC5D3694E4B69B7_41</vt:lpwstr>
  </property>
</Properties>
</file>