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2A6C9">
      <w:pPr>
        <w:jc w:val="center"/>
        <w:rPr>
          <w:rFonts w:hint="default" w:ascii="Times New Roman Bold" w:hAnsi="Times New Roman Bold" w:cs="Times New Roman Bold"/>
          <w:b/>
          <w:bCs/>
          <w:i w:val="0"/>
          <w:iCs w:val="0"/>
          <w:sz w:val="24"/>
          <w:szCs w:val="32"/>
          <w:lang w:val="ru-RU" w:eastAsia="zh-CN"/>
        </w:rPr>
      </w:pPr>
      <w:r>
        <w:rPr>
          <w:rFonts w:hint="default" w:ascii="Times New Roman Bold" w:hAnsi="Times New Roman Bold" w:cs="Times New Roman Bold"/>
          <w:b/>
          <w:bCs/>
          <w:i w:val="0"/>
          <w:iCs w:val="0"/>
          <w:sz w:val="24"/>
          <w:szCs w:val="32"/>
          <w:lang w:val="ru-RU" w:eastAsia="zh-CN"/>
        </w:rPr>
        <w:t>Образ домработницы у М. Булгакова</w:t>
      </w:r>
    </w:p>
    <w:p w14:paraId="742A3318">
      <w:pPr>
        <w:jc w:val="center"/>
        <w:rPr>
          <w:rFonts w:hint="default" w:ascii="Times New Roman Regular" w:hAnsi="Times New Roman Regular" w:cs="Times New Roman Regular"/>
          <w:i/>
          <w:iCs/>
          <w:sz w:val="24"/>
          <w:szCs w:val="32"/>
          <w:lang w:val="ru-RU" w:eastAsia="zh-CN"/>
        </w:rPr>
      </w:pPr>
      <w:r>
        <w:rPr>
          <w:rFonts w:hint="default" w:ascii="Times New Roman Bold" w:hAnsi="Times New Roman Bold" w:cs="Times New Roman Bold"/>
          <w:b/>
          <w:bCs/>
          <w:i/>
          <w:iCs/>
          <w:sz w:val="24"/>
          <w:szCs w:val="32"/>
          <w:lang w:val="ru-RU" w:eastAsia="zh-CN"/>
        </w:rPr>
        <w:t xml:space="preserve">Ван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4"/>
          <w:szCs w:val="32"/>
          <w:lang w:val="ru-RU" w:eastAsia="zh-CN"/>
        </w:rPr>
        <w:t>Хунжуй</w:t>
      </w:r>
    </w:p>
    <w:p w14:paraId="1C7E37C1">
      <w:pPr>
        <w:jc w:val="center"/>
        <w:rPr>
          <w:rFonts w:hint="default" w:ascii="Times New Roman Italic" w:hAnsi="Times New Roman Italic" w:cs="Times New Roman Italic"/>
          <w:i/>
          <w:iCs/>
          <w:sz w:val="24"/>
          <w:szCs w:val="32"/>
          <w:lang w:val="ru-RU" w:eastAsia="zh-CN"/>
        </w:rPr>
      </w:pPr>
      <w:r>
        <w:rPr>
          <w:rFonts w:hint="default" w:ascii="Times New Roman Italic" w:hAnsi="Times New Roman Italic" w:cs="Times New Roman Italic"/>
          <w:i/>
          <w:iCs/>
          <w:sz w:val="24"/>
          <w:szCs w:val="32"/>
          <w:lang w:val="ru-RU" w:eastAsia="zh-CN"/>
        </w:rPr>
        <w:t>аспирант</w:t>
      </w:r>
    </w:p>
    <w:p w14:paraId="03EBB255">
      <w:pPr>
        <w:jc w:val="center"/>
        <w:rPr>
          <w:rFonts w:hint="default" w:ascii="Times New Roman Regular" w:hAnsi="Times New Roman Regular" w:cs="Times New Roman Regular"/>
          <w:i/>
          <w:iCs/>
          <w:sz w:val="24"/>
          <w:szCs w:val="32"/>
          <w:lang w:val="ru-RU" w:eastAsia="zh-CN"/>
        </w:rPr>
      </w:pPr>
      <w:r>
        <w:rPr>
          <w:rFonts w:hint="default" w:ascii="Times New Roman Italic" w:hAnsi="Times New Roman Italic" w:eastAsia="宋体" w:cs="Times New Roman Italic"/>
          <w:i/>
          <w:iCs/>
          <w:sz w:val="24"/>
          <w:szCs w:val="32"/>
          <w:lang w:val="ru-RU" w:eastAsia="zh-CN"/>
        </w:rPr>
        <w:t>Университет</w:t>
      </w:r>
      <w:r>
        <w:rPr>
          <w:rFonts w:hint="default" w:ascii="Times New Roman Regular" w:hAnsi="Times New Roman Regular" w:cs="Times New Roman Regular"/>
          <w:i/>
          <w:iCs/>
          <w:sz w:val="24"/>
          <w:szCs w:val="32"/>
          <w:lang w:val="ru-RU" w:eastAsia="zh-CN"/>
        </w:rPr>
        <w:t xml:space="preserve"> МГУ-ППИ в </w:t>
      </w:r>
      <w:r>
        <w:rPr>
          <w:rFonts w:hint="default" w:ascii="Times New Roman Italic" w:hAnsi="Times New Roman Italic" w:cs="Times New Roman Italic"/>
          <w:i/>
          <w:iCs/>
          <w:sz w:val="24"/>
          <w:szCs w:val="32"/>
          <w:lang w:val="ru-RU" w:eastAsia="zh-CN"/>
        </w:rPr>
        <w:t>Шэньчжэне</w:t>
      </w:r>
      <w:r>
        <w:rPr>
          <w:rFonts w:hint="default" w:ascii="Times New Roman Regular" w:hAnsi="Times New Roman Regular" w:cs="Times New Roman Regular"/>
          <w:i/>
          <w:iCs/>
          <w:sz w:val="24"/>
          <w:szCs w:val="32"/>
          <w:lang w:val="ru-RU" w:eastAsia="zh-CN"/>
        </w:rPr>
        <w:t>,</w:t>
      </w:r>
    </w:p>
    <w:p w14:paraId="21DFA7A1">
      <w:pPr>
        <w:jc w:val="center"/>
        <w:rPr>
          <w:rFonts w:hint="default" w:ascii="Times New Roman Regular" w:hAnsi="Times New Roman Regular" w:cs="Times New Roman Regular"/>
          <w:i/>
          <w:iCs/>
          <w:sz w:val="24"/>
          <w:szCs w:val="32"/>
          <w:lang w:val="ru-RU" w:eastAsia="zh-CN"/>
        </w:rPr>
      </w:pPr>
      <w:r>
        <w:rPr>
          <w:rFonts w:hint="default" w:ascii="Times New Roman Italic" w:hAnsi="Times New Roman Italic" w:eastAsia="宋体" w:cs="Times New Roman Italic"/>
          <w:i/>
          <w:iCs/>
          <w:sz w:val="24"/>
          <w:szCs w:val="32"/>
          <w:lang w:val="ru-RU" w:eastAsia="zh-CN"/>
        </w:rPr>
        <w:t>филологический</w:t>
      </w:r>
      <w:r>
        <w:rPr>
          <w:rFonts w:hint="default" w:ascii="Times New Roman Regular" w:hAnsi="Times New Roman Regular" w:cs="Times New Roman Regular"/>
          <w:i/>
          <w:iCs/>
          <w:sz w:val="24"/>
          <w:szCs w:val="32"/>
          <w:lang w:val="ru-RU" w:eastAsia="zh-CN"/>
        </w:rPr>
        <w:t xml:space="preserve"> </w:t>
      </w:r>
      <w:r>
        <w:rPr>
          <w:rFonts w:hint="default" w:ascii="Times New Roman Italic" w:hAnsi="Times New Roman Italic" w:eastAsia="宋体" w:cs="Times New Roman Italic"/>
          <w:i/>
          <w:iCs/>
          <w:sz w:val="24"/>
          <w:szCs w:val="32"/>
          <w:lang w:val="ru-RU" w:eastAsia="zh-CN"/>
        </w:rPr>
        <w:t>факультет</w:t>
      </w:r>
      <w:r>
        <w:rPr>
          <w:rFonts w:hint="default" w:ascii="Times New Roman Regular" w:hAnsi="Times New Roman Regular" w:cs="Times New Roman Regular"/>
          <w:i/>
          <w:iCs/>
          <w:sz w:val="24"/>
          <w:szCs w:val="32"/>
          <w:lang w:val="ru-RU" w:eastAsia="zh-CN"/>
        </w:rPr>
        <w:t xml:space="preserve">, </w:t>
      </w:r>
      <w:r>
        <w:rPr>
          <w:rFonts w:hint="default" w:ascii="Times New Roman Italic" w:hAnsi="Times New Roman Italic" w:cs="Times New Roman Italic"/>
          <w:i/>
          <w:iCs/>
          <w:sz w:val="24"/>
          <w:szCs w:val="32"/>
          <w:lang w:val="ru-RU" w:eastAsia="zh-CN"/>
        </w:rPr>
        <w:t>Шэньчжэнь</w:t>
      </w:r>
      <w:r>
        <w:rPr>
          <w:rFonts w:hint="default" w:ascii="Times New Roman Regular" w:hAnsi="Times New Roman Regular" w:cs="Times New Roman Regular"/>
          <w:i/>
          <w:iCs/>
          <w:sz w:val="24"/>
          <w:szCs w:val="32"/>
          <w:lang w:val="ru-RU" w:eastAsia="zh-CN"/>
        </w:rPr>
        <w:t xml:space="preserve">, </w:t>
      </w:r>
      <w:r>
        <w:rPr>
          <w:rFonts w:hint="default" w:ascii="Times New Roman Italic" w:hAnsi="Times New Roman Italic" w:cs="Times New Roman Italic"/>
          <w:i/>
          <w:iCs/>
          <w:sz w:val="24"/>
          <w:szCs w:val="32"/>
          <w:lang w:val="ru-RU" w:eastAsia="zh-CN"/>
        </w:rPr>
        <w:t>Китай</w:t>
      </w:r>
    </w:p>
    <w:p w14:paraId="336B189F">
      <w:pPr>
        <w:jc w:val="center"/>
        <w:rPr>
          <w:rFonts w:hint="default" w:ascii="Times New Roman Regular" w:hAnsi="Times New Roman Regular" w:cs="Times New Roman Regular"/>
          <w:sz w:val="24"/>
          <w:szCs w:val="32"/>
          <w:lang w:val="ru-RU" w:eastAsia="zh-CN"/>
        </w:rPr>
      </w:pPr>
      <w:r>
        <w:rPr>
          <w:rFonts w:hint="default" w:ascii="Times New Roman Regular" w:hAnsi="Times New Roman Regular" w:cs="Times New Roman Regular"/>
          <w:i/>
          <w:iCs/>
          <w:sz w:val="24"/>
          <w:szCs w:val="32"/>
          <w:lang w:val="ru-RU" w:eastAsia="zh-CN"/>
        </w:rPr>
        <w:t xml:space="preserve">E–mail: </w:t>
      </w:r>
      <w:r>
        <w:rPr>
          <w:rFonts w:hint="default" w:ascii="Times New Roman Regular" w:hAnsi="Times New Roman Regular" w:cs="Times New Roman Regular"/>
          <w:i/>
          <w:iCs/>
          <w:sz w:val="24"/>
          <w:szCs w:val="32"/>
          <w:lang w:val="en-US" w:eastAsia="zh-CN"/>
        </w:rPr>
        <w:t>evgenyw@qq</w:t>
      </w:r>
      <w:r>
        <w:rPr>
          <w:rFonts w:hint="default" w:ascii="Times New Roman Regular" w:hAnsi="Times New Roman Regular" w:cs="Times New Roman Regular"/>
          <w:i/>
          <w:iCs/>
          <w:sz w:val="24"/>
          <w:szCs w:val="32"/>
          <w:lang w:val="ru-RU" w:eastAsia="zh-CN"/>
        </w:rPr>
        <w:t>.</w:t>
      </w:r>
      <w:r>
        <w:rPr>
          <w:rFonts w:hint="default" w:ascii="Times New Roman Regular" w:hAnsi="Times New Roman Regular" w:cs="Times New Roman Regular"/>
          <w:i/>
          <w:iCs/>
          <w:sz w:val="24"/>
          <w:szCs w:val="32"/>
          <w:lang w:val="en-US" w:eastAsia="zh-CN"/>
        </w:rPr>
        <w:t>com</w:t>
      </w:r>
    </w:p>
    <w:p w14:paraId="1D05E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</w:pP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>Домработница —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 xml:space="preserve"> немало важное действую</w:t>
      </w:r>
      <w:r>
        <w:rPr>
          <w:rFonts w:hint="default" w:ascii="Times New Roman Regular" w:hAnsi="Times New Roman Regular" w:cs="Times New Roman Regular"/>
          <w:sz w:val="24"/>
          <w:szCs w:val="32"/>
          <w:lang w:val="ru-RU" w:eastAsia="zh-CN"/>
        </w:rPr>
        <w:t>щ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>ее лицо в европейской литературе. Согласно J. Rushton, во французской литературе XIX века сформировался особый жанр — «роман о служанке (le roman de la servante)» [</w:t>
      </w:r>
      <w:r>
        <w:rPr>
          <w:rFonts w:hint="default" w:ascii="Times New Roman Regular" w:hAnsi="Times New Roman Regular" w:cs="Times New Roman Regular"/>
          <w:sz w:val="24"/>
          <w:szCs w:val="32"/>
          <w:lang w:val="ru-RU" w:eastAsia="zh-CN"/>
        </w:rPr>
        <w:t>6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>, 39].</w:t>
      </w:r>
      <w:r>
        <w:rPr>
          <w:rFonts w:hint="default" w:ascii="Times New Roman Regular" w:hAnsi="Times New Roman Regular" w:cs="Times New Roman Regular"/>
          <w:sz w:val="24"/>
          <w:szCs w:val="32"/>
          <w:lang w:val="ru-RU" w:eastAsia="zh-CN"/>
        </w:rPr>
        <w:t xml:space="preserve"> В литературе домработница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32"/>
          <w:lang w:val="ru-RU" w:eastAsia="zh-CN"/>
        </w:rPr>
        <w:t>часто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 xml:space="preserve"> изображается как помощница хозя</w:t>
      </w:r>
      <w:r>
        <w:rPr>
          <w:rFonts w:hint="default" w:ascii="Times New Roman Regular" w:hAnsi="Times New Roman Regular" w:cs="Times New Roman Regular"/>
          <w:sz w:val="24"/>
          <w:szCs w:val="32"/>
          <w:lang w:val="ru-RU" w:eastAsia="zh-CN"/>
        </w:rPr>
        <w:t>ин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 xml:space="preserve">а, </w:t>
      </w:r>
      <w:r>
        <w:rPr>
          <w:rFonts w:hint="default" w:ascii="Times New Roman Regular" w:hAnsi="Times New Roman Regular" w:cs="Times New Roman Regular"/>
          <w:sz w:val="24"/>
          <w:szCs w:val="32"/>
          <w:lang w:val="ru-RU" w:eastAsia="zh-CN"/>
        </w:rPr>
        <w:t>которой даже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 xml:space="preserve"> доверяют секреты.</w:t>
      </w:r>
      <w:r>
        <w:rPr>
          <w:rFonts w:hint="default" w:ascii="Times New Roman Regular" w:hAnsi="Times New Roman Regular" w:cs="Times New Roman Regular"/>
          <w:sz w:val="24"/>
          <w:szCs w:val="32"/>
          <w:lang w:val="ru-RU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>В творчестве М. Булгакова образ домработницы часто присутс</w:t>
      </w:r>
      <w:r>
        <w:rPr>
          <w:rFonts w:hint="default" w:ascii="Times New Roman Regular" w:hAnsi="Times New Roman Regular" w:cs="Times New Roman Regular"/>
          <w:sz w:val="24"/>
          <w:szCs w:val="32"/>
          <w:lang w:val="ru-RU" w:eastAsia="zh-CN"/>
        </w:rPr>
        <w:t>т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>вует не только как участник сюжета, но и как зеркало эпохи. В данной статье рассматривается образ домработницы в таких произведени</w:t>
      </w:r>
      <w:r>
        <w:rPr>
          <w:rFonts w:hint="default" w:ascii="Times New Roman Regular" w:hAnsi="Times New Roman Regular" w:cs="Times New Roman Regular"/>
          <w:sz w:val="24"/>
          <w:szCs w:val="32"/>
          <w:lang w:val="ru-RU" w:eastAsia="zh-CN"/>
        </w:rPr>
        <w:t>ях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32"/>
          <w:lang w:val="ru-RU" w:eastAsia="zh-CN"/>
        </w:rPr>
        <w:t>писателя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 xml:space="preserve">, как «Спиритический сеанс», «Белая </w:t>
      </w:r>
      <w:r>
        <w:rPr>
          <w:rFonts w:hint="default" w:ascii="Times New Roman Regular" w:hAnsi="Times New Roman Regular" w:cs="Times New Roman Regular"/>
          <w:sz w:val="24"/>
          <w:szCs w:val="32"/>
          <w:lang w:val="ru-RU" w:eastAsia="zh-CN"/>
        </w:rPr>
        <w:t>г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>вардия», «Собачье сердце» и «Мастер и Маргарита».</w:t>
      </w:r>
    </w:p>
    <w:p w14:paraId="005E9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</w:pP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>Доказывается, что у М.</w:t>
      </w:r>
      <w:r>
        <w:rPr>
          <w:rFonts w:hint="default" w:ascii="Times New Roman Regular" w:hAnsi="Times New Roman Regular" w:cs="Times New Roman Regular"/>
          <w:sz w:val="24"/>
          <w:szCs w:val="32"/>
          <w:lang w:val="ru-RU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>Булгакова, отражающего сатирически</w:t>
      </w:r>
      <w:r>
        <w:rPr>
          <w:rFonts w:hint="default" w:ascii="Times New Roman Regular" w:hAnsi="Times New Roman Regular" w:cs="Times New Roman Regular"/>
          <w:sz w:val="24"/>
          <w:szCs w:val="32"/>
          <w:lang w:val="ru-RU" w:eastAsia="zh-CN"/>
        </w:rPr>
        <w:t>е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 xml:space="preserve"> проблемы </w:t>
      </w:r>
      <w:r>
        <w:rPr>
          <w:rFonts w:hint="default" w:ascii="Times New Roman Regular" w:hAnsi="Times New Roman Regular" w:cs="Times New Roman Regular"/>
          <w:sz w:val="24"/>
          <w:szCs w:val="32"/>
          <w:lang w:val="ru-RU" w:eastAsia="zh-CN"/>
        </w:rPr>
        <w:t>с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>оветского общества, больш</w:t>
      </w:r>
      <w:r>
        <w:rPr>
          <w:rFonts w:hint="default" w:ascii="Times New Roman Regular" w:hAnsi="Times New Roman Regular" w:cs="Times New Roman Regular"/>
          <w:sz w:val="24"/>
          <w:szCs w:val="32"/>
          <w:lang w:val="ru-RU" w:eastAsia="zh-CN"/>
        </w:rPr>
        <w:t>и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>нство домработниц воплощаю</w:t>
      </w:r>
      <w:r>
        <w:rPr>
          <w:rFonts w:hint="default" w:ascii="Times New Roman Regular" w:hAnsi="Times New Roman Regular" w:cs="Times New Roman Regular"/>
          <w:sz w:val="24"/>
          <w:szCs w:val="32"/>
          <w:lang w:val="ru-RU" w:eastAsia="zh-CN"/>
        </w:rPr>
        <w:t>т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 xml:space="preserve"> отрицательные качества: предательство, доносительство, «темное царство». Именно через образ домработницы автор с сатирическим оттенком раскрывает упадок традиционной морали в эпоху потрясений и одновременно запечатлевает человечность.</w:t>
      </w:r>
    </w:p>
    <w:p w14:paraId="34D34665">
      <w:pPr>
        <w:widowControl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353535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53535"/>
          <w:kern w:val="0"/>
          <w:sz w:val="24"/>
          <w:szCs w:val="24"/>
          <w:lang w:eastAsia="en-US"/>
          <w14:ligatures w14:val="none"/>
        </w:rPr>
        <w:t>Литература</w:t>
      </w:r>
    </w:p>
    <w:p w14:paraId="58D7BE68">
      <w:pPr>
        <w:widowControl/>
        <w:numPr>
          <w:ilvl w:val="0"/>
          <w:numId w:val="1"/>
        </w:numPr>
        <w:spacing w:after="0" w:line="240" w:lineRule="auto"/>
        <w:ind w:left="720" w:hanging="360"/>
        <w:jc w:val="both"/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 w:eastAsia="en-US"/>
          <w14:ligatures w14:val="none"/>
        </w:rPr>
      </w:pPr>
      <w:r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 w:eastAsia="en-US"/>
          <w14:ligatures w14:val="none"/>
        </w:rPr>
        <w:t>Балахнина М.В. Профессия — Домработница (страницы истории Западной Сибири 1920-х гг.) // Вестник Сибирского государственного университета путей сообщения. 2009, № 20.</w:t>
      </w:r>
    </w:p>
    <w:p w14:paraId="21856FA6">
      <w:pPr>
        <w:widowControl/>
        <w:numPr>
          <w:ilvl w:val="0"/>
          <w:numId w:val="1"/>
        </w:numPr>
        <w:spacing w:after="0" w:line="240" w:lineRule="auto"/>
        <w:ind w:left="720" w:hanging="360"/>
        <w:jc w:val="both"/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 w:eastAsia="en-US"/>
          <w14:ligatures w14:val="none"/>
        </w:rPr>
      </w:pPr>
      <w:r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 w:eastAsia="en-US"/>
          <w14:ligatures w14:val="none"/>
        </w:rPr>
        <w:t>Булгаков М.А. Белая гвардия. Записки юного врача. СПб.: СЗКЭО. 2023.</w:t>
      </w:r>
    </w:p>
    <w:p w14:paraId="6CE2F8B8">
      <w:pPr>
        <w:widowControl/>
        <w:numPr>
          <w:ilvl w:val="0"/>
          <w:numId w:val="1"/>
        </w:numPr>
        <w:spacing w:after="0" w:line="240" w:lineRule="auto"/>
        <w:ind w:left="720" w:hanging="360"/>
        <w:jc w:val="both"/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 w:eastAsia="en-US"/>
          <w14:ligatures w14:val="none"/>
        </w:rPr>
      </w:pPr>
      <w:r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 w:eastAsia="en-US"/>
          <w14:ligatures w14:val="none"/>
        </w:rPr>
        <w:t>Булгаков М.А. Мастер и Маргарита. СПб.: Азбука, Азбука-Аттикус, 2024.</w:t>
      </w:r>
    </w:p>
    <w:p w14:paraId="749D4A35">
      <w:pPr>
        <w:widowControl/>
        <w:numPr>
          <w:ilvl w:val="0"/>
          <w:numId w:val="1"/>
        </w:numPr>
        <w:spacing w:after="0" w:line="240" w:lineRule="auto"/>
        <w:ind w:left="720" w:hanging="360"/>
        <w:jc w:val="both"/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 w:eastAsia="en-US"/>
          <w14:ligatures w14:val="none"/>
        </w:rPr>
      </w:pPr>
      <w:r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 w:eastAsia="en-US"/>
          <w14:ligatures w14:val="none"/>
        </w:rPr>
        <w:t>Булгаков М.А. Собачье сердце. СПб.: Азбука, Азбука-Аттикус, 2024.</w:t>
      </w:r>
    </w:p>
    <w:p w14:paraId="66CC6EF1">
      <w:pPr>
        <w:widowControl/>
        <w:numPr>
          <w:ilvl w:val="0"/>
          <w:numId w:val="1"/>
        </w:numPr>
        <w:spacing w:after="0" w:line="240" w:lineRule="auto"/>
        <w:ind w:left="720" w:hanging="360"/>
        <w:jc w:val="both"/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 w:eastAsia="en-US"/>
          <w14:ligatures w14:val="none"/>
        </w:rPr>
      </w:pPr>
      <w:r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 w:eastAsia="en-US"/>
          <w14:ligatures w14:val="none"/>
        </w:rPr>
        <w:t>Булгаков М. А. Спиритический сеанс. URL: </w:t>
      </w:r>
      <w:r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 w:eastAsia="en-US"/>
          <w14:ligatures w14:val="none"/>
        </w:rPr>
        <w:fldChar w:fldCharType="begin"/>
      </w:r>
      <w:r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 w:eastAsia="en-US"/>
          <w14:ligatures w14:val="none"/>
        </w:rPr>
        <w:instrText xml:space="preserve"> HYPERLINK "https://azbyka.ru/sueverie/spiriticheskij-seans.html" \t "/Users/evgenia/Documents\\x/_blank" </w:instrText>
      </w:r>
      <w:r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 w:eastAsia="en-US"/>
          <w14:ligatures w14:val="none"/>
        </w:rPr>
        <w:fldChar w:fldCharType="separate"/>
      </w:r>
      <w:r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 w:eastAsia="en-US"/>
          <w14:ligatures w14:val="none"/>
        </w:rPr>
        <w:t>https://azbyka.ru/sueverie/spiriticheskij-seans.html</w:t>
      </w:r>
      <w:r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 w:eastAsia="en-US"/>
          <w14:ligatures w14:val="none"/>
        </w:rPr>
        <w:fldChar w:fldCharType="end"/>
      </w:r>
      <w:r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 w:eastAsia="en-US"/>
          <w14:ligatures w14:val="none"/>
        </w:rPr>
        <w:t xml:space="preserve"> (дата обращения: 20.03.2026).</w:t>
      </w:r>
    </w:p>
    <w:p w14:paraId="17E018CF">
      <w:pPr>
        <w:widowControl/>
        <w:numPr>
          <w:ilvl w:val="0"/>
          <w:numId w:val="1"/>
        </w:numPr>
        <w:spacing w:after="0" w:line="240" w:lineRule="auto"/>
        <w:ind w:left="720" w:hanging="360"/>
        <w:jc w:val="both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 w:eastAsia="en-US"/>
          <w14:ligatures w14:val="none"/>
        </w:rPr>
        <w:t xml:space="preserve">Rushton J. Destabilizing the Nineteenth-Century Maidservant Revolt Narrative: Leïla Slimani’s Chanson douce // MHRA Working Papers in the Humanities. 2021, </w:t>
      </w:r>
      <w:r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en-US" w:eastAsia="en-US"/>
          <w14:ligatures w14:val="none"/>
        </w:rPr>
        <w:t>p</w:t>
      </w:r>
      <w:r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 w:eastAsia="en-US"/>
          <w14:ligatures w14:val="none"/>
        </w:rPr>
        <w:t>. 38-46.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BC7975"/>
    <w:multiLevelType w:val="multilevel"/>
    <w:tmpl w:val="2BBC797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58759"/>
    <w:rsid w:val="1FE7EDDC"/>
    <w:rsid w:val="3CED26D7"/>
    <w:rsid w:val="5857C861"/>
    <w:rsid w:val="59FD4A17"/>
    <w:rsid w:val="5FF58759"/>
    <w:rsid w:val="67F78CAE"/>
    <w:rsid w:val="6E373563"/>
    <w:rsid w:val="6FFF0C66"/>
    <w:rsid w:val="6FFFBED3"/>
    <w:rsid w:val="7DF67ED2"/>
    <w:rsid w:val="7FBF5DEC"/>
    <w:rsid w:val="7FC37AD2"/>
    <w:rsid w:val="BFBF6985"/>
    <w:rsid w:val="CAFFD7FF"/>
    <w:rsid w:val="DCBD322B"/>
    <w:rsid w:val="E2FFE52F"/>
    <w:rsid w:val="E5F98449"/>
    <w:rsid w:val="F7AF0D3A"/>
    <w:rsid w:val="FB7DCC03"/>
    <w:rsid w:val="FFCFD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2026-04-07T04:30:00Z</dcterms:created>
  <dc:creator>Женя</dc:creator>
  <cp:lastModifiedBy>Женя</cp:lastModifiedBy>
  <dcterms:modified xsi:type="dcterms:W3CDTF">2026-04-06T22:08:46Z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D351F86C9FF3CB3D49A7D3694778A3CE_41</vt:lpwstr>
  </property>
</Properties>
</file>