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593F" w14:textId="77777777" w:rsidR="00724A8C" w:rsidRDefault="008D3150" w:rsidP="0006629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val="ru-RU"/>
          <w14:ligatures w14:val="none"/>
        </w:rPr>
      </w:pPr>
      <w:r w:rsidRPr="008D315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val="ru-RU"/>
          <w14:ligatures w14:val="none"/>
        </w:rPr>
        <w:t xml:space="preserve">Современные проблемы космического права и перспектива </w:t>
      </w:r>
    </w:p>
    <w:p w14:paraId="52D20109" w14:textId="7ACD5BDE" w:rsidR="00066299" w:rsidRPr="00CA4C91" w:rsidRDefault="008D3150" w:rsidP="00066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8D3150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val="ru-RU"/>
          <w14:ligatures w14:val="none"/>
        </w:rPr>
        <w:t>китайско-российского сотрудничества в освоении дальнего космоса</w:t>
      </w:r>
    </w:p>
    <w:p w14:paraId="5D7EA17E" w14:textId="7322E0A7" w:rsidR="00066299" w:rsidRPr="00066299" w:rsidRDefault="00066299" w:rsidP="00066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3"/>
          <w:szCs w:val="23"/>
          <w:lang w:val="ru-RU"/>
          <w14:ligatures w14:val="none"/>
        </w:rPr>
        <w:t xml:space="preserve">Фэн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3"/>
          <w:szCs w:val="23"/>
          <w:lang w:val="ru-RU"/>
          <w14:ligatures w14:val="none"/>
        </w:rPr>
        <w:t>Юйяо</w:t>
      </w:r>
      <w:proofErr w:type="spellEnd"/>
    </w:p>
    <w:p w14:paraId="5E0635D7" w14:textId="7FD07927" w:rsidR="00066299" w:rsidRPr="00D85C6D" w:rsidRDefault="00724A8C" w:rsidP="00066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Студент магистратуры</w:t>
      </w:r>
    </w:p>
    <w:p w14:paraId="7BC4C0B4" w14:textId="77777777" w:rsidR="00724A8C" w:rsidRPr="00724A8C" w:rsidRDefault="00724A8C" w:rsidP="00724A8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 w:eastAsia="en-US"/>
          <w14:ligatures w14:val="none"/>
        </w:rPr>
        <w:t>Университет МГУ-ППИ в Шэ</w:t>
      </w:r>
      <w:r w:rsidRPr="00724A8C">
        <w:rPr>
          <w:rFonts w:ascii="Times New Roman" w:eastAsia="Times New Roman" w:hAnsi="Times New Roman"/>
          <w:i/>
          <w:iCs/>
          <w:color w:val="353535"/>
          <w:sz w:val="23"/>
          <w:szCs w:val="23"/>
          <w:lang w:val="ru-RU" w:eastAsia="en-US"/>
        </w:rPr>
        <w:t>н</w:t>
      </w:r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 w:eastAsia="en-US"/>
          <w14:ligatures w14:val="none"/>
        </w:rPr>
        <w:t>ьчжэне</w:t>
      </w:r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 w:eastAsia="en-US"/>
          <w14:ligatures w14:val="none"/>
        </w:rPr>
        <w:br/>
        <w:t>Российско-китайский центр сравнительного правоведения, Шэньчжэнь, Китай</w:t>
      </w:r>
      <w:r w:rsidRPr="00724A8C">
        <w:rPr>
          <w:rFonts w:ascii="Times New Roman" w:hAnsi="Times New Roman" w:cs="Times New Roman"/>
          <w:i/>
          <w:iCs/>
          <w:lang w:val="ru-RU"/>
        </w:rPr>
        <w:t xml:space="preserve"> </w:t>
      </w:r>
    </w:p>
    <w:p w14:paraId="11F4C63F" w14:textId="6A188377" w:rsidR="00066299" w:rsidRPr="00724A8C" w:rsidRDefault="00066299" w:rsidP="00066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E</w:t>
      </w:r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–</w:t>
      </w:r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mail</w:t>
      </w:r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fengyuyao</w:t>
      </w:r>
      <w:proofErr w:type="spellEnd"/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99@</w:t>
      </w:r>
      <w:proofErr w:type="spellStart"/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qq</w:t>
      </w:r>
      <w:proofErr w:type="spellEnd"/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com</w:t>
      </w:r>
    </w:p>
    <w:p w14:paraId="4BB1C54D" w14:textId="77777777" w:rsidR="00066299" w:rsidRPr="00066299" w:rsidRDefault="00066299" w:rsidP="00724A8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066299">
        <w:rPr>
          <w:rFonts w:ascii="Times New Roman" w:hAnsi="Times New Roman" w:cs="Times New Roman"/>
          <w:sz w:val="24"/>
          <w:lang w:val="ru-RU"/>
        </w:rPr>
        <w:t>С постепенным переходом космической деятельности от преимущественно государственной модели к более сложной системе с участием государств, международных организаций и коммерческих субъектов, система космического права также претерпевает постоянные изменения и расширение. Ранняя нормативная структура, в центре которой находился Договор о космосе, носила в большей степени принципиальный и рамочный характер. Однако в современных условиях, по мере развития освоения космических ресурсов, коммерческой космонавтики и дальнего космоса, космическое право постепенно приобретает более конкретные и прикладные формы. Эти изменения означают не только увеличение количества правовых норм, но и более тесную связь между правовым регулированием и техническими аспектами. В результате современные проблемы космического права уже не сводятся к подтверждению базовых принципов, а связаны прежде всего с их толкованием, конкретизацией и практической реализацией.</w:t>
      </w:r>
    </w:p>
    <w:p w14:paraId="7DEB0837" w14:textId="782581E0" w:rsidR="00066299" w:rsidRPr="00066299" w:rsidRDefault="00066299" w:rsidP="00724A8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066299">
        <w:rPr>
          <w:rFonts w:ascii="Times New Roman" w:hAnsi="Times New Roman" w:cs="Times New Roman"/>
          <w:sz w:val="24"/>
          <w:lang w:val="ru-RU"/>
        </w:rPr>
        <w:t xml:space="preserve">В целом, основные трудности современного космического права обусловлены тем, что прежняя система, основанная преимущественно на общих принципах, сталкивается с быстрым развитием технологий и усложнением круга участников. Такие принципы, как свобода исследования и использования космического пространства, </w:t>
      </w:r>
      <w:r w:rsidR="003D7557" w:rsidRPr="00066299">
        <w:rPr>
          <w:rFonts w:ascii="Times New Roman" w:hAnsi="Times New Roman" w:cs="Times New Roman"/>
          <w:sz w:val="24"/>
          <w:lang w:val="ru-RU"/>
        </w:rPr>
        <w:t>не присвоение</w:t>
      </w:r>
      <w:r w:rsidRPr="00066299">
        <w:rPr>
          <w:rFonts w:ascii="Times New Roman" w:hAnsi="Times New Roman" w:cs="Times New Roman"/>
          <w:sz w:val="24"/>
          <w:lang w:val="ru-RU"/>
        </w:rPr>
        <w:t xml:space="preserve"> и мирное использование, сами по себе не утратили значения, однако в условиях разработки космических ресурсов, использования технологий двойного назначения и расширения деятельности в дальнем космосе их содержание и пределы применения становятся предметом все более заметных разногласий. Одновременно развитие коммерческой космонавтики трансформирует традиционную государственно-</w:t>
      </w:r>
      <w:proofErr w:type="spellStart"/>
      <w:r w:rsidRPr="00066299">
        <w:rPr>
          <w:rFonts w:ascii="Times New Roman" w:hAnsi="Times New Roman" w:cs="Times New Roman"/>
          <w:sz w:val="24"/>
          <w:lang w:val="ru-RU"/>
        </w:rPr>
        <w:t>центричную</w:t>
      </w:r>
      <w:proofErr w:type="spellEnd"/>
      <w:r w:rsidRPr="00066299">
        <w:rPr>
          <w:rFonts w:ascii="Times New Roman" w:hAnsi="Times New Roman" w:cs="Times New Roman"/>
          <w:sz w:val="24"/>
          <w:lang w:val="ru-RU"/>
        </w:rPr>
        <w:t xml:space="preserve"> модель: космическая деятельность все чаще включает множество государств и различных субъектов, что усложняет вопросы распределения ответственности и согласования механизмов регулирования. Кроме того, ограниченность орбитальных и частотных ресурсов, на фоне развертывания крупных спутниковых группировок, усиливает конкуренцию и перегруженность, повышая значимость управления космическим движением и проблемы космического мусора, тогда как существующие нормы не всегда обеспечивают достаточный уровень обязательности и справедливости.</w:t>
      </w:r>
    </w:p>
    <w:p w14:paraId="3CA71FBD" w14:textId="77777777" w:rsidR="00066299" w:rsidRPr="00066299" w:rsidRDefault="00066299" w:rsidP="00724A8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066299">
        <w:rPr>
          <w:rFonts w:ascii="Times New Roman" w:hAnsi="Times New Roman" w:cs="Times New Roman"/>
          <w:sz w:val="24"/>
          <w:lang w:val="ru-RU"/>
        </w:rPr>
        <w:t xml:space="preserve">На более широком уровне ряд вопросов уже выходит за рамки традиционного регулирования космического права. Речь идет, в частности, о правовом статусе космических ресурсов, регулировании оборота космических данных, а также о проблемах безопасности и военного использования космоса — все это свидетельствует о том, что развитие технологий опережает институциональные механизмы. По мере продвижения человеческой деятельности к Луне и более удаленным объектам, нормативная база становится все более фрагментированной, а различные режимы — недостаточно согласованными. Вопросы планетарной защиты, технических стандартов и даже систем времени постепенно выходят за рамки сугубо технических обсуждений и требуют правового осмысления. В целом современное космическое право развивается не как простое «дополнение» существующих норм, а как процесс поиска баланса между </w:t>
      </w:r>
      <w:r w:rsidRPr="00066299">
        <w:rPr>
          <w:rFonts w:ascii="Times New Roman" w:hAnsi="Times New Roman" w:cs="Times New Roman"/>
          <w:sz w:val="24"/>
          <w:lang w:val="ru-RU"/>
        </w:rPr>
        <w:lastRenderedPageBreak/>
        <w:t>стимулированием развития, управлением рисками и поддержанием базового порядка, что предполагает сосуществование различных форм регулирования и исключает возможность их окончательной унификации в рамках одного универсального механизма.</w:t>
      </w:r>
    </w:p>
    <w:p w14:paraId="045256CE" w14:textId="55AE5FC9" w:rsidR="008D3150" w:rsidRDefault="00066299" w:rsidP="00724A8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066299">
        <w:rPr>
          <w:rFonts w:ascii="Times New Roman" w:hAnsi="Times New Roman" w:cs="Times New Roman"/>
          <w:sz w:val="24"/>
          <w:lang w:val="ru-RU"/>
        </w:rPr>
        <w:t xml:space="preserve">Если обратиться к практическому уровню, то взаимодействие права и реальной деятельности наглядно проявляется на примере российско-китайского сотрудничества в сфере исследования дальнего космоса. В последние годы стороны реализуют совместные проекты, связанные, в частности, с созданием международной научной лунной станции. По своей сути такое сотрудничество выходит за рамки чисто технического взаимодействия и представляет собой форму апробации возможных решений в условиях существующей правовой системы. Так, в вопросах использования ресурсов, строительства инфраструктуры и распределения функций участники вынуждены вырабатывать практические подходы, не нарушающие принцип </w:t>
      </w:r>
      <w:r w:rsidR="003D7557" w:rsidRPr="00066299">
        <w:rPr>
          <w:rFonts w:ascii="Times New Roman" w:hAnsi="Times New Roman" w:cs="Times New Roman"/>
          <w:sz w:val="24"/>
          <w:lang w:val="ru-RU"/>
        </w:rPr>
        <w:t>не присвоения</w:t>
      </w:r>
      <w:r w:rsidRPr="00066299">
        <w:rPr>
          <w:rFonts w:ascii="Times New Roman" w:hAnsi="Times New Roman" w:cs="Times New Roman"/>
          <w:sz w:val="24"/>
          <w:lang w:val="ru-RU"/>
        </w:rPr>
        <w:t>, но при этом обеспечивающие устойчивость деятельности. Аналогично, в сфере обмена данными, распределения ответственности и управления проектами неизбежно возникает необходимость согласования различных национальных правовых подходов. В этом смысле подобные формы сотрудничества частично восполняют пробелы в регулировании, формируя практику, которая со временем может способствовать уточнению существующих норм. Следовательно, российско-китайское взаимодействие в дальнем космосе представляет собой не просто применение действующего космического права, а его осторожное развитие и адаптацию в рамках неизменных базовых принципов.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66299">
        <w:rPr>
          <w:rFonts w:ascii="Times New Roman" w:hAnsi="Times New Roman" w:cs="Times New Roman"/>
          <w:sz w:val="24"/>
          <w:lang w:val="ru-RU"/>
        </w:rPr>
        <w:t>В настоящем докладе данные вопросы рассматриваются в качестве ключевых.</w:t>
      </w:r>
    </w:p>
    <w:p w14:paraId="1627969F" w14:textId="5B419B50" w:rsidR="00724A8C" w:rsidRPr="00724A8C" w:rsidRDefault="00724A8C" w:rsidP="00724A8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724A8C">
        <w:rPr>
          <w:rFonts w:ascii="Times New Roman" w:hAnsi="Times New Roman" w:cs="Times New Roman"/>
          <w:b/>
          <w:bCs/>
          <w:sz w:val="24"/>
          <w:lang w:val="ru-RU"/>
        </w:rPr>
        <w:t>Литература:</w:t>
      </w:r>
    </w:p>
    <w:p w14:paraId="33F761BA" w14:textId="621C4F2C" w:rsidR="00724A8C" w:rsidRPr="00724A8C" w:rsidRDefault="00724A8C" w:rsidP="00724A8C">
      <w:pPr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24A8C">
        <w:rPr>
          <w:rFonts w:ascii="Times New Roman" w:eastAsia="Times New Roman" w:hAnsi="Times New Roman" w:cs="Times New Roman"/>
          <w:sz w:val="24"/>
          <w:lang w:val="ru-RU"/>
        </w:rPr>
        <w:t>Договор о принципах деятельности государств по исследованию и использованию космического пространства, включая Луну и другие небесные тела. Принят резолюцией 2222 (</w:t>
      </w:r>
      <w:r>
        <w:rPr>
          <w:rFonts w:ascii="Times New Roman" w:eastAsia="Times New Roman" w:hAnsi="Times New Roman" w:cs="Times New Roman"/>
          <w:sz w:val="24"/>
        </w:rPr>
        <w:t>XXI</w:t>
      </w:r>
      <w:r w:rsidRPr="00724A8C">
        <w:rPr>
          <w:rFonts w:ascii="Times New Roman" w:eastAsia="Times New Roman" w:hAnsi="Times New Roman" w:cs="Times New Roman"/>
          <w:sz w:val="24"/>
          <w:lang w:val="ru-RU"/>
        </w:rPr>
        <w:t>) Генеральной Ассамблеи от 19 декабря 1966 года</w:t>
      </w:r>
    </w:p>
    <w:p w14:paraId="346CE554" w14:textId="77777777" w:rsidR="00724A8C" w:rsidRPr="00724A8C" w:rsidRDefault="00724A8C" w:rsidP="00724A8C">
      <w:pPr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24A8C">
        <w:rPr>
          <w:rFonts w:ascii="Times New Roman" w:eastAsia="Times New Roman" w:hAnsi="Times New Roman" w:cs="Times New Roman"/>
          <w:sz w:val="24"/>
          <w:lang w:val="ru-RU"/>
        </w:rPr>
        <w:t>Конвенция о международной ответственности за ущерб, причиненный космическими объектами Принята резолюцией 2777 (</w:t>
      </w:r>
      <w:r>
        <w:rPr>
          <w:rFonts w:ascii="Times New Roman" w:eastAsia="Times New Roman" w:hAnsi="Times New Roman" w:cs="Times New Roman"/>
          <w:sz w:val="24"/>
        </w:rPr>
        <w:t>XXVI</w:t>
      </w:r>
      <w:r w:rsidRPr="00724A8C">
        <w:rPr>
          <w:rFonts w:ascii="Times New Roman" w:eastAsia="Times New Roman" w:hAnsi="Times New Roman" w:cs="Times New Roman"/>
          <w:sz w:val="24"/>
          <w:lang w:val="ru-RU"/>
        </w:rPr>
        <w:t>) Генеральной Ассамблеи ООН от 29 ноября 1971 года</w:t>
      </w:r>
    </w:p>
    <w:p w14:paraId="50A6894D" w14:textId="77777777" w:rsidR="00724A8C" w:rsidRDefault="00724A8C" w:rsidP="00724A8C">
      <w:pPr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24A8C">
        <w:rPr>
          <w:rFonts w:ascii="Times New Roman" w:eastAsia="Times New Roman" w:hAnsi="Times New Roman" w:cs="Times New Roman"/>
          <w:sz w:val="24"/>
          <w:lang w:val="ru-RU"/>
        </w:rPr>
        <w:t xml:space="preserve">Толстых В. Л. Реформа космического права // Актуальные проблемы российского права.. - 2021. - №Т. 16. </w:t>
      </w:r>
      <w:r>
        <w:rPr>
          <w:rFonts w:ascii="Times New Roman" w:eastAsia="Times New Roman" w:hAnsi="Times New Roman" w:cs="Times New Roman"/>
          <w:sz w:val="24"/>
        </w:rPr>
        <w:t xml:space="preserve">№ 5 (126). - С. 173-174. </w:t>
      </w:r>
    </w:p>
    <w:p w14:paraId="5F57F02A" w14:textId="1FEE3B3F" w:rsidR="00724A8C" w:rsidRPr="00485067" w:rsidRDefault="00724A8C" w:rsidP="00724A8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</w:p>
    <w:sectPr w:rsidR="00724A8C" w:rsidRPr="00485067" w:rsidSect="008F58D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258A1"/>
    <w:multiLevelType w:val="multilevel"/>
    <w:tmpl w:val="C4D83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94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50"/>
    <w:rsid w:val="00066299"/>
    <w:rsid w:val="003D7557"/>
    <w:rsid w:val="00485067"/>
    <w:rsid w:val="00724A8C"/>
    <w:rsid w:val="008D3150"/>
    <w:rsid w:val="008F58D1"/>
    <w:rsid w:val="00CC507B"/>
    <w:rsid w:val="00D8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7265"/>
  <w15:chartTrackingRefBased/>
  <w15:docId w15:val="{D46EBA31-4B87-8041-AD6A-D5787A9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1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1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15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1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8D3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8D3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D31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3150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D3150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D3150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3150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D3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3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31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31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31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3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31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315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D3150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character" w:styleId="ad">
    <w:name w:val="Strong"/>
    <w:basedOn w:val="a0"/>
    <w:uiPriority w:val="22"/>
    <w:qFormat/>
    <w:rsid w:val="008D3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A82545</dc:creator>
  <cp:keywords/>
  <dc:description/>
  <cp:lastModifiedBy>Полина Косарева</cp:lastModifiedBy>
  <cp:revision>2</cp:revision>
  <dcterms:created xsi:type="dcterms:W3CDTF">2026-05-14T17:51:00Z</dcterms:created>
  <dcterms:modified xsi:type="dcterms:W3CDTF">2026-05-14T17:51:00Z</dcterms:modified>
</cp:coreProperties>
</file>