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D61E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Противодействие коррупции в России и Китае: сравнительно-правовое исследование надзорных органов в контексте конституционных реформ и современной правоприменительной практики</w:t>
      </w:r>
    </w:p>
    <w:p w14:paraId="00000002" w14:textId="77777777" w:rsidR="00CD61E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Калистратова Дарья Александровна </w:t>
      </w:r>
    </w:p>
    <w:p w14:paraId="00000003" w14:textId="3673E69D" w:rsidR="00CD61EC" w:rsidRPr="00E0030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</w:t>
      </w:r>
      <w:r w:rsidR="00E0030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бакалавриат</w:t>
      </w:r>
      <w:r w:rsidR="00E0030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а</w:t>
      </w:r>
    </w:p>
    <w:p w14:paraId="00000004" w14:textId="1762DF5E" w:rsidR="00CD61E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М.В.</w:t>
      </w:r>
      <w:r w:rsidR="00E0030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Ломоносова,</w:t>
      </w:r>
    </w:p>
    <w:p w14:paraId="00000005" w14:textId="77777777" w:rsidR="00CD61E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юридический факультет, Москва, Россия</w:t>
      </w:r>
    </w:p>
    <w:p w14:paraId="00000007" w14:textId="471FD3D1" w:rsidR="00CD61EC" w:rsidRDefault="00000000" w:rsidP="00E00301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E-mail: dashik518@gmail.com </w:t>
      </w:r>
    </w:p>
    <w:p w14:paraId="00000008" w14:textId="77777777" w:rsidR="00CD61EC" w:rsidRPr="00E00301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>Очевидным вызовом для любой правовой системы является коррупция. Для борьбы с ней государства создают институциональные механизмы, призванные контролировать деятельность должностных лиц, надзирать за законностью их решений. Актуальность исследования таких механизмов в России и Китае обусловлена принципиальными различиями в подходах к построению надзорных государственных органов.</w:t>
      </w:r>
    </w:p>
    <w:p w14:paraId="00000009" w14:textId="77777777" w:rsidR="00CD61EC" w:rsidRPr="00E00301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>Проведенное исследование показало, что:</w:t>
      </w:r>
    </w:p>
    <w:p w14:paraId="0000000A" w14:textId="77777777" w:rsidR="00CD61EC" w:rsidRPr="00E00301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В КНР в ходе реформы 2018 года функции прокуратуры в рамках уголовного преследования по делам с коррупциогенным фактором были переданы Надзорному комитету. </w:t>
      </w:r>
    </w:p>
    <w:p w14:paraId="0000000B" w14:textId="77777777" w:rsidR="00CD61EC" w:rsidRPr="00E00301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 основным органом надзора остается прокуратура. По коррупционным делам особой подследственности не выделяется. </w:t>
      </w:r>
    </w:p>
    <w:p w14:paraId="0000000C" w14:textId="77777777" w:rsidR="00CD61EC" w:rsidRPr="00E00301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Концепция общего надзора неизвестна китайскому правопорядку. </w:t>
      </w:r>
    </w:p>
    <w:p w14:paraId="0000000D" w14:textId="77777777" w:rsidR="00CD61EC" w:rsidRPr="00E00301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В сфере борьбы с коррупцией можно найти общие черты в отечественном институте антикоррупционной экспертизы и в китайской новелле — оптимизационных надзорных предложениях. Они различаются по субъектам, выносящим решения (в России это прокуратура, в Китае — Надзорный комитет) и по кругу лиц, на регулирование отношений которых направлены предписания надзорных органов (В РФ этот круг лиц шире). </w:t>
      </w:r>
    </w:p>
    <w:p w14:paraId="0000000E" w14:textId="77777777" w:rsidR="00CD61EC" w:rsidRPr="00E00301" w:rsidRDefault="00000000" w:rsidP="00E00301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0F" w14:textId="77777777" w:rsidR="00CD61EC" w:rsidRPr="00E003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>Васюшкин В.В. Пределы прокурорского надзора // Законность. 2010. № 11. С. 15–19.</w:t>
      </w:r>
    </w:p>
    <w:p w14:paraId="00000010" w14:textId="77777777" w:rsidR="00CD61EC" w:rsidRPr="00E003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>Казанник А.И. Конституционно-правовой статус прокуратуры Российской Федерации: мифы и реальность // Государственная власть и местное самоуправление. 2007. № 5. С. 13–16.</w:t>
      </w:r>
    </w:p>
    <w:p w14:paraId="00000011" w14:textId="77777777" w:rsidR="00CD61EC" w:rsidRPr="00E003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</w:rPr>
        <w:t>Ястребов В.Б., Ястребов В.В. Прокурорский надзор. Учебник для академического бакалавриата юридических вузов и факультетов. 6-е изд. М.: М-Зерцало, 2025. 15 с.</w:t>
      </w:r>
    </w:p>
    <w:p w14:paraId="00000012" w14:textId="77777777" w:rsidR="00CD61EC" w:rsidRPr="00E003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Chen,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>Guangzhong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and Jun Shao. 2018. The Thinks of the National Supervisory System Reform. </w:t>
      </w:r>
      <w:r w:rsidRPr="00E00301">
        <w:rPr>
          <w:rFonts w:ascii="Times New Roman" w:eastAsia="Times New Roman" w:hAnsi="Times New Roman" w:cs="Times New Roman"/>
          <w:sz w:val="24"/>
          <w:szCs w:val="24"/>
        </w:rPr>
        <w:t>China Legal Science No. 4.</w:t>
      </w:r>
    </w:p>
    <w:p w14:paraId="00000013" w14:textId="77777777" w:rsidR="00CD61EC" w:rsidRPr="00E003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Chi,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>Fangxu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2018. On the Defining of the Legal Feature of the Supervisory Committee. </w:t>
      </w:r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China Social Science Today, 6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</w:rPr>
        <w:t>Jan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</w:rPr>
        <w:t>. 2018, No. 8.</w:t>
      </w:r>
    </w:p>
    <w:p w14:paraId="00000014" w14:textId="77777777" w:rsidR="00CD61EC" w:rsidRPr="00E003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Liu,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>Maolin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2017. National Supervisory System Reform and the Development of the China’s Constitutional System. </w:t>
      </w:r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Journal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</w:rPr>
        <w:t>Soochow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 University Legal Edition No. 4.</w:t>
      </w:r>
    </w:p>
    <w:p w14:paraId="00000015" w14:textId="77777777" w:rsidR="00CD61EC" w:rsidRPr="00E0030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Qin,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>Qianhong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E00301">
        <w:rPr>
          <w:rFonts w:ascii="Times New Roman" w:eastAsia="Times New Roman" w:hAnsi="Times New Roman" w:cs="Times New Roman"/>
          <w:sz w:val="24"/>
          <w:szCs w:val="24"/>
        </w:rPr>
        <w:t>Цинь</w:t>
      </w:r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</w:rPr>
        <w:t>Цяньхуан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Legal Engineering in the Supervisory System Reform. </w:t>
      </w:r>
      <w:proofErr w:type="spellStart"/>
      <w:r w:rsidRPr="00E00301">
        <w:rPr>
          <w:rFonts w:ascii="Times New Roman" w:eastAsia="Times New Roman" w:hAnsi="Times New Roman" w:cs="Times New Roman"/>
          <w:sz w:val="24"/>
          <w:szCs w:val="24"/>
        </w:rPr>
        <w:t>Yilin</w:t>
      </w:r>
      <w:proofErr w:type="spellEnd"/>
      <w:r w:rsidRPr="00E00301">
        <w:rPr>
          <w:rFonts w:ascii="Times New Roman" w:eastAsia="Times New Roman" w:hAnsi="Times New Roman" w:cs="Times New Roman"/>
          <w:sz w:val="24"/>
          <w:szCs w:val="24"/>
        </w:rPr>
        <w:t xml:space="preserve"> Press, 2023. 6 p.</w:t>
      </w:r>
    </w:p>
    <w:p w14:paraId="00000016" w14:textId="77777777" w:rsidR="00CD61EC" w:rsidRDefault="00CD61E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D61EC">
      <w:pgSz w:w="11909" w:h="16834"/>
      <w:pgMar w:top="1133" w:right="1360" w:bottom="1133" w:left="1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34B32F-C9A6-C042-91E9-F3F3544D9A62}"/>
    <w:embedBold r:id="rId2" w:fontKey="{1EEBDF71-587C-BC42-A6DE-50E697ADE774}"/>
    <w:embedItalic r:id="rId3" w:fontKey="{D017BE08-94A4-A846-8E86-843F44868072}"/>
    <w:embedBoldItalic r:id="rId4" w:fontKey="{1671F6CC-57AD-1D4A-AD7E-317ABA35C1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04D286D-2AE8-C943-AB84-2A2DEE7A7531}"/>
    <w:embedItalic r:id="rId6" w:fontKey="{B183EBDA-298A-7E4A-9962-CE69C9E7DD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E7277AF-FEED-324C-8916-F2C63569FD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ED2C59E-32B3-F446-9045-6629F9157F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079A"/>
    <w:multiLevelType w:val="multilevel"/>
    <w:tmpl w:val="8D8840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4EE2E44"/>
    <w:multiLevelType w:val="multilevel"/>
    <w:tmpl w:val="2D24062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306975039">
    <w:abstractNumId w:val="1"/>
  </w:num>
  <w:num w:numId="2" w16cid:durableId="885070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1EC"/>
    <w:rsid w:val="000612AC"/>
    <w:rsid w:val="00CD61EC"/>
    <w:rsid w:val="00E0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2B62BA"/>
  <w15:docId w15:val="{7945B57D-D5B5-BB40-B4FB-54A4D64A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Косарева</cp:lastModifiedBy>
  <cp:revision>3</cp:revision>
  <dcterms:created xsi:type="dcterms:W3CDTF">2026-05-14T17:14:00Z</dcterms:created>
  <dcterms:modified xsi:type="dcterms:W3CDTF">2026-05-14T17:15:00Z</dcterms:modified>
</cp:coreProperties>
</file>