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1914" w14:textId="77777777" w:rsidR="00A92143" w:rsidRPr="00991CBB" w:rsidRDefault="00A92143" w:rsidP="008E46C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Оптически активные наноэмиттеры на основе квантовых точек для высокоэффективных светодиодов</w:t>
      </w:r>
    </w:p>
    <w:p w14:paraId="5FA4384B" w14:textId="30CCC0A3" w:rsidR="00621EB5" w:rsidRPr="00991CBB" w:rsidRDefault="00D539C0" w:rsidP="008E46C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Цзу А</w:t>
      </w:r>
      <w:r w:rsidR="00991CBB" w:rsidRPr="00991C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ньци</w:t>
      </w:r>
      <w:r w:rsidR="00770106" w:rsidRPr="00991C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583291" w:rsidRPr="00991C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B67A1" w:rsidRPr="00991C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Гартман А.Д.</w:t>
      </w:r>
    </w:p>
    <w:p w14:paraId="7634382E" w14:textId="77777777" w:rsidR="00991CBB" w:rsidRPr="00991CBB" w:rsidRDefault="00991CBB" w:rsidP="00991CBB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Студент, 4 курс бакалавриата</w:t>
      </w:r>
    </w:p>
    <w:p w14:paraId="3EA49BE9" w14:textId="4C5C3FE9" w:rsidR="00B50D56" w:rsidRPr="00991CBB" w:rsidRDefault="00991CBB" w:rsidP="00991CBB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i/>
          <w:iCs/>
          <w:sz w:val="24"/>
          <w:szCs w:val="24"/>
          <w:lang w:val="ru-RU"/>
        </w:rPr>
        <w:t>Университет МГУ-ППИ в Шэньчжэне, факультет наук о материалах, Шэньчжэнь, Китай</w:t>
      </w:r>
    </w:p>
    <w:p w14:paraId="01C692B9" w14:textId="4CDF2D8D" w:rsidR="008B3084" w:rsidRPr="00D16632" w:rsidRDefault="008B3084" w:rsidP="008E46C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1CB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1663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91CBB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D1663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C189D" w:rsidRPr="00D166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6632" w:rsidRPr="00D16632">
        <w:rPr>
          <w:rFonts w:ascii="Times New Roman" w:hAnsi="Times New Roman" w:cs="Times New Roman" w:hint="eastAsia"/>
          <w:i/>
          <w:iCs/>
          <w:sz w:val="24"/>
          <w:szCs w:val="24"/>
        </w:rPr>
        <w:t>gartman@smbu.edu.cn</w:t>
      </w:r>
    </w:p>
    <w:p w14:paraId="6457A365" w14:textId="15D8B25E" w:rsidR="005C5E4B" w:rsidRPr="00991CBB" w:rsidRDefault="005C5E4B" w:rsidP="00E8490F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sz w:val="24"/>
          <w:szCs w:val="24"/>
          <w:lang w:val="ru-RU"/>
        </w:rPr>
        <w:t>Коллоидные квантовые точки (КТ) представляют собой полупроводниковые нанокристаллы размером 2–20 нм, обладающие уникальными оптическими свойствами: узкими пиками эмиссии, широкой спектральной перестраиваемостью и высоким квантовым выходом фотолюминесценции [</w:t>
      </w:r>
      <w:r w:rsidR="008E46C5" w:rsidRPr="00991CB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>]. Благодаря этому КТ рассматриваются как перспективный материал для светодиодов следующего поколения (QLED). Однако при изготовлении QLED-устройств сохраняются ключевые проблемы: деградация эмиссионного слоя, невоспроизводимость его параметров и дисбаланс токов инжекции электронов и дырок [</w:t>
      </w:r>
      <w:r w:rsidR="008E46C5" w:rsidRPr="00991CB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>]. Эффективным способом повышения характеристик устройств является оптимизация морфологии активного слоя, которая напрямую влияет на баланс зарядов и излучательную рекомбинацию [</w:t>
      </w:r>
      <w:r w:rsidR="008E46C5" w:rsidRPr="00991CB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>]. Одним из ключевых технологических параметров, определяющих морфологию, выступает концентрация КТ при формировании эмиссионного слоя. В связи с этим в настоящей работе исследовано влияние концентрации КТ CdSe на эффективность QLED-устройств.</w:t>
      </w:r>
    </w:p>
    <w:p w14:paraId="396E8550" w14:textId="629920E0" w:rsidR="005C5E4B" w:rsidRPr="00991CBB" w:rsidRDefault="005C5E4B" w:rsidP="00E8490F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sz w:val="24"/>
          <w:szCs w:val="24"/>
          <w:lang w:val="ru-RU"/>
        </w:rPr>
        <w:t>В ходе работы варьировали концентрацию КТ в диапазоне 10–25 мг/мл при формировании эмиссионного слоя методом центрифугирования</w:t>
      </w:r>
      <w:r w:rsidR="006C526E"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(рис. 1)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>. Показано, что увеличение концентрации приводит к закономерному росту интенсивности фотолюминесценции: интенсивность для 25 мг/мл в 5 раз выше, чем для 10 мг/мл. Квантовый выход фотолюминесценции, измеренный с использованием интегрирующей сферы, достиг 22%. Толщина активного слоя, определённая методом профилометрии, составила 10 нм. На основе оптимальной концентрации (25 мг/мл) собрано QLED-устройство, для которого зарегистрирована электролюминесценция в красной области спектра (625 нм). Установлено предельное рабочее напряжение 10 В: его превышение ведёт к резкому падению яркости свечения [</w:t>
      </w:r>
      <w:r w:rsidR="008E46C5" w:rsidRPr="00991CB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3FC13EA2" w14:textId="77777777" w:rsidR="00CB07F3" w:rsidRPr="00991CBB" w:rsidRDefault="00CB07F3" w:rsidP="008E46C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76342259" wp14:editId="63BC5481">
            <wp:extent cx="5106154" cy="2037124"/>
            <wp:effectExtent l="0" t="0" r="0" b="1270"/>
            <wp:docPr id="162747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7101" name="图片 1627471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937" cy="20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B43B" w14:textId="738CA8C9" w:rsidR="00CB07F3" w:rsidRPr="00991CBB" w:rsidRDefault="00CB07F3" w:rsidP="008E46C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sz w:val="24"/>
          <w:szCs w:val="24"/>
          <w:lang w:val="ru-RU"/>
        </w:rPr>
        <w:t>Рис. 1. Схема изготовления QLED-устройства</w:t>
      </w:r>
    </w:p>
    <w:p w14:paraId="3C0C63AC" w14:textId="7F6FC3AC" w:rsidR="00DC6DCD" w:rsidRPr="00991CBB" w:rsidRDefault="005C5E4B" w:rsidP="008E46C5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sz w:val="24"/>
          <w:szCs w:val="24"/>
          <w:lang w:val="ru-RU"/>
        </w:rPr>
        <w:t>Таким образом, показано, что варьирование концентрации КТ является эффективным инструментом контроля морфологии эмиссионного слоя и позволяет целенаправленно повышать эффективность QLED-структур. Оптимальная концентрация CdSe составила 25 мг/мл.</w:t>
      </w:r>
    </w:p>
    <w:p w14:paraId="0A44A2DA" w14:textId="6950BDF1" w:rsidR="000C5352" w:rsidRPr="00991CBB" w:rsidRDefault="000C5352" w:rsidP="008E46C5">
      <w:pPr>
        <w:adjustRightInd w:val="0"/>
        <w:snapToGrid w:val="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1CB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5FC2C979" w14:textId="1F45AEF7" w:rsidR="000C5352" w:rsidRPr="00991CBB" w:rsidRDefault="0073095E" w:rsidP="008E46C5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991CBB">
        <w:rPr>
          <w:rFonts w:ascii="Times New Roman" w:hAnsi="Times New Roman" w:cs="Times New Roman"/>
          <w:sz w:val="24"/>
          <w:szCs w:val="24"/>
        </w:rPr>
        <w:t>Tian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D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Ma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H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Huang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G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Gao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M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Cai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F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Fang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Y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Li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C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Jiang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X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Wang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A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Wang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S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991CBB">
        <w:rPr>
          <w:rFonts w:ascii="Times New Roman" w:hAnsi="Times New Roman" w:cs="Times New Roman"/>
          <w:sz w:val="24"/>
          <w:szCs w:val="24"/>
        </w:rPr>
        <w:t>Du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CBB">
        <w:rPr>
          <w:rFonts w:ascii="Times New Roman" w:hAnsi="Times New Roman" w:cs="Times New Roman"/>
          <w:sz w:val="24"/>
          <w:szCs w:val="24"/>
        </w:rPr>
        <w:t>Z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 // </w:t>
      </w:r>
      <w:r w:rsidRPr="00991CBB">
        <w:rPr>
          <w:rFonts w:ascii="Times New Roman" w:hAnsi="Times New Roman" w:cs="Times New Roman"/>
          <w:sz w:val="24"/>
          <w:szCs w:val="24"/>
        </w:rPr>
        <w:t>Adv</w:t>
      </w:r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91CBB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991C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91CBB">
        <w:rPr>
          <w:rFonts w:ascii="Times New Roman" w:hAnsi="Times New Roman" w:cs="Times New Roman"/>
          <w:sz w:val="24"/>
          <w:szCs w:val="24"/>
        </w:rPr>
        <w:t>Mater. 2022. Vol. 11. No. 2.</w:t>
      </w:r>
    </w:p>
    <w:p w14:paraId="3722BE1A" w14:textId="299829EA" w:rsidR="0073095E" w:rsidRPr="00991CBB" w:rsidRDefault="0073095E" w:rsidP="008E46C5">
      <w:pPr>
        <w:adjustRightInd w:val="0"/>
        <w:snapToGrid w:val="0"/>
        <w:ind w:firstLine="397"/>
        <w:rPr>
          <w:rFonts w:ascii="Times New Roman" w:hAnsi="Times New Roman" w:cs="Times New Roman"/>
          <w:sz w:val="24"/>
          <w:szCs w:val="24"/>
        </w:rPr>
      </w:pPr>
      <w:r w:rsidRPr="00991CBB">
        <w:rPr>
          <w:rFonts w:ascii="Times New Roman" w:hAnsi="Times New Roman" w:cs="Times New Roman"/>
          <w:sz w:val="24"/>
          <w:szCs w:val="24"/>
        </w:rPr>
        <w:t xml:space="preserve">2. García de Arquer F.P., </w:t>
      </w:r>
      <w:proofErr w:type="spellStart"/>
      <w:r w:rsidRPr="00991CBB">
        <w:rPr>
          <w:rFonts w:ascii="Times New Roman" w:hAnsi="Times New Roman" w:cs="Times New Roman"/>
          <w:sz w:val="24"/>
          <w:szCs w:val="24"/>
        </w:rPr>
        <w:t>Talapin</w:t>
      </w:r>
      <w:proofErr w:type="spellEnd"/>
      <w:r w:rsidRPr="00991CBB">
        <w:rPr>
          <w:rFonts w:ascii="Times New Roman" w:hAnsi="Times New Roman" w:cs="Times New Roman"/>
          <w:sz w:val="24"/>
          <w:szCs w:val="24"/>
        </w:rPr>
        <w:t xml:space="preserve"> D.V., Klimov V.I., Arakawa Y., Bayer M., Sargent E.H. // Science. 2021. Vol. 373. No. 6555. P. 640.</w:t>
      </w:r>
    </w:p>
    <w:sectPr w:rsidR="0073095E" w:rsidRPr="00991CBB" w:rsidSect="00C1569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4B24" w14:textId="77777777" w:rsidR="00A0214B" w:rsidRDefault="00A0214B" w:rsidP="00AB67A1">
      <w:pPr>
        <w:rPr>
          <w:rFonts w:hint="eastAsia"/>
        </w:rPr>
      </w:pPr>
      <w:r>
        <w:separator/>
      </w:r>
    </w:p>
  </w:endnote>
  <w:endnote w:type="continuationSeparator" w:id="0">
    <w:p w14:paraId="470F2990" w14:textId="77777777" w:rsidR="00A0214B" w:rsidRDefault="00A0214B" w:rsidP="00AB67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4C99" w14:textId="77777777" w:rsidR="00A0214B" w:rsidRDefault="00A0214B" w:rsidP="00AB67A1">
      <w:pPr>
        <w:rPr>
          <w:rFonts w:hint="eastAsia"/>
        </w:rPr>
      </w:pPr>
      <w:r>
        <w:separator/>
      </w:r>
    </w:p>
  </w:footnote>
  <w:footnote w:type="continuationSeparator" w:id="0">
    <w:p w14:paraId="21573A4B" w14:textId="77777777" w:rsidR="00A0214B" w:rsidRDefault="00A0214B" w:rsidP="00AB67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BB3"/>
    <w:multiLevelType w:val="multilevel"/>
    <w:tmpl w:val="C214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E68F0"/>
    <w:multiLevelType w:val="multilevel"/>
    <w:tmpl w:val="0194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75441"/>
    <w:multiLevelType w:val="hybridMultilevel"/>
    <w:tmpl w:val="2F428000"/>
    <w:lvl w:ilvl="0" w:tplc="1DC2F2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3" w15:restartNumberingAfterBreak="0">
    <w:nsid w:val="6ED36F25"/>
    <w:multiLevelType w:val="hybridMultilevel"/>
    <w:tmpl w:val="C5F60E0E"/>
    <w:lvl w:ilvl="0" w:tplc="8D22F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2EA39DC"/>
    <w:multiLevelType w:val="multilevel"/>
    <w:tmpl w:val="B2E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795496">
    <w:abstractNumId w:val="1"/>
  </w:num>
  <w:num w:numId="2" w16cid:durableId="1989237901">
    <w:abstractNumId w:val="0"/>
  </w:num>
  <w:num w:numId="3" w16cid:durableId="1995915520">
    <w:abstractNumId w:val="4"/>
  </w:num>
  <w:num w:numId="4" w16cid:durableId="23941226">
    <w:abstractNumId w:val="3"/>
  </w:num>
  <w:num w:numId="5" w16cid:durableId="193628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42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56"/>
    <w:rsid w:val="00022B44"/>
    <w:rsid w:val="000450B8"/>
    <w:rsid w:val="000C5352"/>
    <w:rsid w:val="00102456"/>
    <w:rsid w:val="00113D33"/>
    <w:rsid w:val="001A3D1E"/>
    <w:rsid w:val="001A4A01"/>
    <w:rsid w:val="001C1CEC"/>
    <w:rsid w:val="00251F0B"/>
    <w:rsid w:val="003E0ED3"/>
    <w:rsid w:val="0048712E"/>
    <w:rsid w:val="004C189D"/>
    <w:rsid w:val="004D214B"/>
    <w:rsid w:val="00583291"/>
    <w:rsid w:val="005C5E4B"/>
    <w:rsid w:val="005F13A8"/>
    <w:rsid w:val="00602718"/>
    <w:rsid w:val="00605DF1"/>
    <w:rsid w:val="00620B12"/>
    <w:rsid w:val="00621EB5"/>
    <w:rsid w:val="006C526E"/>
    <w:rsid w:val="0073095E"/>
    <w:rsid w:val="00770106"/>
    <w:rsid w:val="007C25F4"/>
    <w:rsid w:val="007D5799"/>
    <w:rsid w:val="00835A79"/>
    <w:rsid w:val="00871F43"/>
    <w:rsid w:val="008A2145"/>
    <w:rsid w:val="008B3084"/>
    <w:rsid w:val="008E46C5"/>
    <w:rsid w:val="009740E6"/>
    <w:rsid w:val="00980116"/>
    <w:rsid w:val="00991CBB"/>
    <w:rsid w:val="009E7971"/>
    <w:rsid w:val="00A0214B"/>
    <w:rsid w:val="00A92143"/>
    <w:rsid w:val="00A9275D"/>
    <w:rsid w:val="00AB1B1B"/>
    <w:rsid w:val="00AB296A"/>
    <w:rsid w:val="00AB67A1"/>
    <w:rsid w:val="00AC047B"/>
    <w:rsid w:val="00AE570A"/>
    <w:rsid w:val="00B05F4E"/>
    <w:rsid w:val="00B25BE8"/>
    <w:rsid w:val="00B50D56"/>
    <w:rsid w:val="00B65932"/>
    <w:rsid w:val="00B91414"/>
    <w:rsid w:val="00BA567E"/>
    <w:rsid w:val="00BB1321"/>
    <w:rsid w:val="00BE0C5A"/>
    <w:rsid w:val="00C1569A"/>
    <w:rsid w:val="00C17875"/>
    <w:rsid w:val="00CB07F3"/>
    <w:rsid w:val="00CE7BA4"/>
    <w:rsid w:val="00D16632"/>
    <w:rsid w:val="00D539C0"/>
    <w:rsid w:val="00DC6DCD"/>
    <w:rsid w:val="00E07A6C"/>
    <w:rsid w:val="00E8490F"/>
    <w:rsid w:val="00EB0DEB"/>
    <w:rsid w:val="00EC44BC"/>
    <w:rsid w:val="00F04C03"/>
    <w:rsid w:val="00F17BF7"/>
    <w:rsid w:val="00FB6EFF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5AE06"/>
  <w15:chartTrackingRefBased/>
  <w15:docId w15:val="{A9126225-B9F9-45CA-B45A-73A69C7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4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4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4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4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4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2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4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67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67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6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67A1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13D33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13D3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321</Words>
  <Characters>2217</Characters>
  <Application>Microsoft Office Word</Application>
  <DocSecurity>0</DocSecurity>
  <Lines>41</Lines>
  <Paragraphs>13</Paragraphs>
  <ScaleCrop>false</ScaleCrop>
  <Company>HP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安琦 祖</dc:creator>
  <cp:keywords/>
  <dc:description/>
  <cp:lastModifiedBy>安琦 祖</cp:lastModifiedBy>
  <cp:revision>105</cp:revision>
  <dcterms:created xsi:type="dcterms:W3CDTF">2026-04-06T03:17:00Z</dcterms:created>
  <dcterms:modified xsi:type="dcterms:W3CDTF">2026-04-06T14:41:00Z</dcterms:modified>
</cp:coreProperties>
</file>