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E9D15" w14:textId="77777777" w:rsidR="001C3053" w:rsidRDefault="001C3053" w:rsidP="00CA4C91">
      <w:pPr>
        <w:spacing w:after="0" w:line="240" w:lineRule="auto"/>
        <w:jc w:val="center"/>
        <w:rPr>
          <w:rFonts w:ascii="Times New Roman" w:eastAsia="等线" w:hAnsi="Times New Roman" w:cs="Times New Roman"/>
          <w:b/>
          <w:bCs/>
          <w:color w:val="000000"/>
          <w:kern w:val="0"/>
          <w:lang w:eastAsia="zh-CN"/>
          <w14:ligatures w14:val="none"/>
        </w:rPr>
      </w:pPr>
      <w:r w:rsidRPr="001C3053">
        <w:rPr>
          <w:rFonts w:ascii="Times New Roman" w:eastAsia="Times New Roman" w:hAnsi="Times New Roman" w:cs="Times New Roman"/>
          <w:b/>
          <w:bCs/>
          <w:color w:val="000000"/>
          <w:kern w:val="0"/>
          <w14:ligatures w14:val="none"/>
        </w:rPr>
        <w:t>An integrated study of dendrochronology and multi-source remote sensing on the ecological changes of pine forests in the Lori Plateau of Armenia.</w:t>
      </w:r>
    </w:p>
    <w:p w14:paraId="3C8772BE" w14:textId="5054DBAD" w:rsidR="00CA4C91" w:rsidRPr="001C3053" w:rsidRDefault="001C3053" w:rsidP="00CA4C91">
      <w:pPr>
        <w:spacing w:after="0" w:line="240" w:lineRule="auto"/>
        <w:jc w:val="center"/>
        <w:rPr>
          <w:rFonts w:ascii="Times New Roman" w:eastAsia="等线" w:hAnsi="Times New Roman" w:cs="Times New Roman" w:hint="eastAsia"/>
          <w:b/>
          <w:bCs/>
          <w:i/>
          <w:iCs/>
          <w:color w:val="000000"/>
          <w:kern w:val="0"/>
          <w:lang w:eastAsia="zh-CN"/>
          <w14:ligatures w14:val="none"/>
        </w:rPr>
      </w:pPr>
      <w:r>
        <w:rPr>
          <w:rFonts w:ascii="等线" w:eastAsia="等线" w:hAnsi="等线" w:cs="Times New Roman" w:hint="eastAsia"/>
          <w:b/>
          <w:bCs/>
          <w:i/>
          <w:iCs/>
          <w:color w:val="000000"/>
          <w:kern w:val="0"/>
          <w:lang w:eastAsia="zh-CN"/>
          <w14:ligatures w14:val="none"/>
        </w:rPr>
        <w:t>Z</w:t>
      </w:r>
      <w:r>
        <w:rPr>
          <w:rFonts w:ascii="Times New Roman" w:eastAsia="等线" w:hAnsi="Times New Roman" w:cs="Times New Roman" w:hint="eastAsia"/>
          <w:b/>
          <w:bCs/>
          <w:i/>
          <w:iCs/>
          <w:color w:val="000000"/>
          <w:kern w:val="0"/>
          <w:lang w:eastAsia="zh-CN"/>
          <w14:ligatures w14:val="none"/>
        </w:rPr>
        <w:t>hu Junrong</w:t>
      </w:r>
    </w:p>
    <w:p w14:paraId="3349C4CE" w14:textId="020433A1" w:rsidR="00CA4C91" w:rsidRPr="00CA4C91" w:rsidRDefault="00182DFB" w:rsidP="00CA4C91">
      <w:pPr>
        <w:spacing w:after="0" w:line="240" w:lineRule="auto"/>
        <w:jc w:val="center"/>
        <w:rPr>
          <w:rFonts w:ascii="Times New Roman" w:eastAsia="Times New Roman" w:hAnsi="Times New Roman" w:cs="Times New Roman"/>
          <w:i/>
          <w:iCs/>
          <w:color w:val="000000"/>
          <w:kern w:val="0"/>
          <w14:ligatures w14:val="none"/>
        </w:rPr>
      </w:pPr>
      <w:r w:rsidRPr="00182DFB">
        <w:rPr>
          <w:rFonts w:ascii="Times New Roman" w:eastAsia="Times New Roman" w:hAnsi="Times New Roman" w:cs="Times New Roman"/>
          <w:i/>
          <w:iCs/>
          <w:color w:val="000000"/>
          <w:kern w:val="0"/>
          <w14:ligatures w14:val="none"/>
        </w:rPr>
        <w:t xml:space="preserve">Master’s Student </w:t>
      </w:r>
    </w:p>
    <w:p w14:paraId="409FA147" w14:textId="77777777" w:rsidR="00182DFB" w:rsidRDefault="00182DFB" w:rsidP="00CA4C91">
      <w:pPr>
        <w:spacing w:after="0" w:line="240" w:lineRule="auto"/>
        <w:jc w:val="center"/>
        <w:rPr>
          <w:rFonts w:ascii="Times New Roman" w:hAnsi="Times New Roman" w:cs="Times New Roman"/>
          <w:i/>
          <w:iCs/>
          <w:color w:val="000000"/>
          <w:kern w:val="0"/>
          <w:lang w:eastAsia="zh-TW"/>
          <w14:ligatures w14:val="none"/>
        </w:rPr>
      </w:pPr>
      <w:r w:rsidRPr="00182DFB">
        <w:rPr>
          <w:rFonts w:ascii="Times New Roman" w:eastAsia="Times New Roman" w:hAnsi="Times New Roman" w:cs="Times New Roman"/>
          <w:i/>
          <w:iCs/>
          <w:color w:val="000000"/>
          <w:kern w:val="0"/>
          <w14:ligatures w14:val="none"/>
        </w:rPr>
        <w:t xml:space="preserve">Shenzhen MSU-BIT University, </w:t>
      </w:r>
    </w:p>
    <w:p w14:paraId="5C79B076" w14:textId="43737D6D" w:rsidR="00182DFB" w:rsidRDefault="00182DFB" w:rsidP="00CA4C91">
      <w:pPr>
        <w:spacing w:after="0" w:line="240" w:lineRule="auto"/>
        <w:jc w:val="center"/>
        <w:rPr>
          <w:rFonts w:ascii="Times New Roman" w:hAnsi="Times New Roman" w:cs="Times New Roman"/>
          <w:i/>
          <w:iCs/>
          <w:color w:val="000000"/>
          <w:kern w:val="0"/>
          <w:lang w:eastAsia="zh-TW"/>
          <w14:ligatures w14:val="none"/>
        </w:rPr>
      </w:pPr>
      <w:r w:rsidRPr="00182DFB">
        <w:rPr>
          <w:rFonts w:ascii="Times New Roman" w:eastAsia="Times New Roman" w:hAnsi="Times New Roman" w:cs="Times New Roman"/>
          <w:i/>
          <w:iCs/>
          <w:color w:val="000000"/>
          <w:kern w:val="0"/>
          <w14:ligatures w14:val="none"/>
        </w:rPr>
        <w:t>Faculty of Biology, Shenzhen, China</w:t>
      </w:r>
    </w:p>
    <w:p w14:paraId="6E33D7CD" w14:textId="062B36CA" w:rsidR="00CA4C91" w:rsidRPr="001C3053" w:rsidRDefault="00CA4C91" w:rsidP="00CA4C91">
      <w:pPr>
        <w:spacing w:after="0" w:line="240" w:lineRule="auto"/>
        <w:jc w:val="center"/>
        <w:rPr>
          <w:rFonts w:ascii="Times New Roman" w:eastAsia="等线" w:hAnsi="Times New Roman" w:cs="Times New Roman" w:hint="eastAsia"/>
          <w:i/>
          <w:iCs/>
          <w:color w:val="000000"/>
          <w:kern w:val="0"/>
          <w:lang w:eastAsia="zh-CN"/>
          <w14:ligatures w14:val="none"/>
        </w:rPr>
      </w:pPr>
      <w:r w:rsidRPr="00CA4C91">
        <w:rPr>
          <w:rFonts w:ascii="Times New Roman" w:eastAsia="Times New Roman" w:hAnsi="Times New Roman" w:cs="Times New Roman"/>
          <w:i/>
          <w:iCs/>
          <w:color w:val="000000"/>
          <w:kern w:val="0"/>
          <w14:ligatures w14:val="none"/>
        </w:rPr>
        <w:t>E–mail</w:t>
      </w:r>
      <w:r w:rsidRPr="00CA4C91">
        <w:rPr>
          <w:rFonts w:ascii="Times New Roman" w:eastAsia="Times New Roman" w:hAnsi="Times New Roman" w:cs="Times New Roman"/>
          <w:i/>
          <w:iCs/>
          <w:color w:val="000000" w:themeColor="text1"/>
          <w:kern w:val="0"/>
          <w14:ligatures w14:val="none"/>
        </w:rPr>
        <w:t>:</w:t>
      </w:r>
      <w:r w:rsidR="001C3053">
        <w:rPr>
          <w:rFonts w:ascii="Times New Roman" w:eastAsia="等线" w:hAnsi="Times New Roman" w:cs="Times New Roman" w:hint="eastAsia"/>
          <w:i/>
          <w:iCs/>
          <w:color w:val="000000" w:themeColor="text1"/>
          <w:kern w:val="0"/>
          <w:lang w:eastAsia="zh-CN"/>
          <w14:ligatures w14:val="none"/>
        </w:rPr>
        <w:t xml:space="preserve"> carl_zhujr@163.com</w:t>
      </w:r>
    </w:p>
    <w:p w14:paraId="0ED81A8B" w14:textId="77777777" w:rsidR="001C3053" w:rsidRPr="001C3053" w:rsidRDefault="001C3053" w:rsidP="001C3053">
      <w:pPr>
        <w:spacing w:after="0" w:line="240" w:lineRule="auto"/>
        <w:jc w:val="both"/>
        <w:rPr>
          <w:rFonts w:ascii="Times New Roman" w:eastAsia="Times New Roman" w:hAnsi="Times New Roman" w:cs="Times New Roman"/>
          <w:color w:val="000000"/>
          <w:kern w:val="0"/>
          <w14:ligatures w14:val="none"/>
        </w:rPr>
      </w:pPr>
      <w:r w:rsidRPr="001C3053">
        <w:rPr>
          <w:rFonts w:ascii="Times New Roman" w:eastAsia="Times New Roman" w:hAnsi="Times New Roman" w:cs="Times New Roman"/>
          <w:color w:val="000000"/>
          <w:kern w:val="0"/>
          <w14:ligatures w14:val="none"/>
        </w:rPr>
        <w:t>This study presents the first multi</w:t>
      </w:r>
      <w:r w:rsidRPr="001C3053">
        <w:rPr>
          <w:rFonts w:ascii="Times New Roman" w:eastAsia="Times New Roman" w:hAnsi="Times New Roman" w:cs="Times New Roman"/>
          <w:color w:val="000000"/>
          <w:kern w:val="0"/>
          <w14:ligatures w14:val="none"/>
        </w:rPr>
        <w:noBreakHyphen/>
        <w:t>source assessment of Scots pine (</w:t>
      </w:r>
      <w:r w:rsidRPr="001C3053">
        <w:rPr>
          <w:rFonts w:ascii="Times New Roman" w:eastAsia="Times New Roman" w:hAnsi="Times New Roman" w:cs="Times New Roman"/>
          <w:i/>
          <w:iCs/>
          <w:color w:val="000000"/>
          <w:kern w:val="0"/>
          <w14:ligatures w14:val="none"/>
        </w:rPr>
        <w:t>Pinus sylvestris</w:t>
      </w:r>
      <w:r w:rsidRPr="001C3053">
        <w:rPr>
          <w:rFonts w:ascii="Times New Roman" w:eastAsia="Times New Roman" w:hAnsi="Times New Roman" w:cs="Times New Roman"/>
          <w:color w:val="000000"/>
          <w:kern w:val="0"/>
          <w14:ligatures w14:val="none"/>
        </w:rPr>
        <w:t xml:space="preserve">) tree stand massifs in the Lori Plateau (Northern Armenia), integrating dendrochronology, satellite remote sensing, </w:t>
      </w:r>
      <w:proofErr w:type="spellStart"/>
      <w:r w:rsidRPr="001C3053">
        <w:rPr>
          <w:rFonts w:ascii="Times New Roman" w:eastAsia="Times New Roman" w:hAnsi="Times New Roman" w:cs="Times New Roman"/>
          <w:color w:val="000000"/>
          <w:kern w:val="0"/>
          <w14:ligatures w14:val="none"/>
        </w:rPr>
        <w:t>dendrochemistry</w:t>
      </w:r>
      <w:proofErr w:type="spellEnd"/>
      <w:r w:rsidRPr="001C3053">
        <w:rPr>
          <w:rFonts w:ascii="Times New Roman" w:eastAsia="Times New Roman" w:hAnsi="Times New Roman" w:cs="Times New Roman"/>
          <w:color w:val="000000"/>
          <w:kern w:val="0"/>
          <w14:ligatures w14:val="none"/>
        </w:rPr>
        <w:t xml:space="preserve"> and topographic analysis to reconstruct ecological dynamics over the past four decades and evaluate climate sensitivity and spatial vulnerability. Tree</w:t>
      </w:r>
      <w:r w:rsidRPr="001C3053">
        <w:rPr>
          <w:rFonts w:ascii="Times New Roman" w:eastAsia="Times New Roman" w:hAnsi="Times New Roman" w:cs="Times New Roman"/>
          <w:color w:val="000000"/>
          <w:kern w:val="0"/>
          <w14:ligatures w14:val="none"/>
        </w:rPr>
        <w:noBreakHyphen/>
        <w:t xml:space="preserve">ring cores were collected from Scots pine across an elevational gradient (1435–1929 m </w:t>
      </w:r>
      <w:proofErr w:type="spellStart"/>
      <w:r w:rsidRPr="001C3053">
        <w:rPr>
          <w:rFonts w:ascii="Times New Roman" w:eastAsia="Times New Roman" w:hAnsi="Times New Roman" w:cs="Times New Roman"/>
          <w:color w:val="000000"/>
          <w:kern w:val="0"/>
          <w14:ligatures w14:val="none"/>
        </w:rPr>
        <w:t>a.s.l</w:t>
      </w:r>
      <w:proofErr w:type="spellEnd"/>
      <w:r w:rsidRPr="001C3053">
        <w:rPr>
          <w:rFonts w:ascii="Times New Roman" w:eastAsia="Times New Roman" w:hAnsi="Times New Roman" w:cs="Times New Roman"/>
          <w:color w:val="000000"/>
          <w:kern w:val="0"/>
          <w14:ligatures w14:val="none"/>
        </w:rPr>
        <w:t>.) and predominantly from north</w:t>
      </w:r>
      <w:r w:rsidRPr="001C3053">
        <w:rPr>
          <w:rFonts w:ascii="Times New Roman" w:eastAsia="Times New Roman" w:hAnsi="Times New Roman" w:cs="Times New Roman"/>
          <w:color w:val="000000"/>
          <w:kern w:val="0"/>
          <w14:ligatures w14:val="none"/>
        </w:rPr>
        <w:noBreakHyphen/>
        <w:t xml:space="preserve"> and northwest</w:t>
      </w:r>
      <w:r w:rsidRPr="001C3053">
        <w:rPr>
          <w:rFonts w:ascii="Times New Roman" w:eastAsia="Times New Roman" w:hAnsi="Times New Roman" w:cs="Times New Roman"/>
          <w:color w:val="000000"/>
          <w:kern w:val="0"/>
          <w14:ligatures w14:val="none"/>
        </w:rPr>
        <w:noBreakHyphen/>
        <w:t>facing slopes. Ring widths were measured using TSAP</w:t>
      </w:r>
      <w:r w:rsidRPr="001C3053">
        <w:rPr>
          <w:rFonts w:ascii="Times New Roman" w:eastAsia="Times New Roman" w:hAnsi="Times New Roman" w:cs="Times New Roman"/>
          <w:color w:val="000000"/>
          <w:kern w:val="0"/>
          <w14:ligatures w14:val="none"/>
        </w:rPr>
        <w:noBreakHyphen/>
        <w:t>Win, and cross</w:t>
      </w:r>
      <w:r w:rsidRPr="001C3053">
        <w:rPr>
          <w:rFonts w:ascii="Times New Roman" w:eastAsia="Times New Roman" w:hAnsi="Times New Roman" w:cs="Times New Roman"/>
          <w:color w:val="000000"/>
          <w:kern w:val="0"/>
          <w14:ligatures w14:val="none"/>
        </w:rPr>
        <w:noBreakHyphen/>
        <w:t>dating was validated with COFECHA to establish robust regional chronologies. Simultaneously, Landsat imagery from 1994, 2000, 2013, and 2023 was used to derive NDVI</w:t>
      </w:r>
      <w:r w:rsidRPr="001C3053">
        <w:rPr>
          <w:rFonts w:ascii="Times New Roman" w:eastAsia="Times New Roman" w:hAnsi="Times New Roman" w:cs="Times New Roman"/>
          <w:color w:val="000000"/>
          <w:kern w:val="0"/>
          <w14:ligatures w14:val="none"/>
        </w:rPr>
        <w:noBreakHyphen/>
        <w:t>based land cover classes (open land, low vegetation, broad</w:t>
      </w:r>
      <w:r w:rsidRPr="001C3053">
        <w:rPr>
          <w:rFonts w:ascii="Times New Roman" w:eastAsia="Times New Roman" w:hAnsi="Times New Roman" w:cs="Times New Roman"/>
          <w:color w:val="000000"/>
          <w:kern w:val="0"/>
          <w14:ligatures w14:val="none"/>
        </w:rPr>
        <w:noBreakHyphen/>
        <w:t>leaved forest, coniferous forest), enabling analysis of vegetation dynamics and landscape patterns over 40 years. In QGIS, sampling points were spatially overlaid with NDVI classification maps and digital elevation model (DEM) data (elevation, aspect) to build a "point</w:t>
      </w:r>
      <w:r w:rsidRPr="001C3053">
        <w:rPr>
          <w:rFonts w:ascii="Times New Roman" w:eastAsia="Times New Roman" w:hAnsi="Times New Roman" w:cs="Times New Roman"/>
          <w:color w:val="000000"/>
          <w:kern w:val="0"/>
          <w14:ligatures w14:val="none"/>
        </w:rPr>
        <w:noBreakHyphen/>
        <w:t>to</w:t>
      </w:r>
      <w:r w:rsidRPr="001C3053">
        <w:rPr>
          <w:rFonts w:ascii="Times New Roman" w:eastAsia="Times New Roman" w:hAnsi="Times New Roman" w:cs="Times New Roman"/>
          <w:color w:val="000000"/>
          <w:kern w:val="0"/>
          <w14:ligatures w14:val="none"/>
        </w:rPr>
        <w:noBreakHyphen/>
        <w:t>area" integrated dataset.</w:t>
      </w:r>
    </w:p>
    <w:p w14:paraId="137EECA3" w14:textId="77777777" w:rsidR="001C3053" w:rsidRPr="001C3053" w:rsidRDefault="001C3053" w:rsidP="001C3053">
      <w:pPr>
        <w:spacing w:after="0" w:line="240" w:lineRule="auto"/>
        <w:jc w:val="both"/>
        <w:rPr>
          <w:rFonts w:ascii="Times New Roman" w:eastAsia="Times New Roman" w:hAnsi="Times New Roman" w:cs="Times New Roman"/>
          <w:color w:val="000000"/>
          <w:kern w:val="0"/>
          <w14:ligatures w14:val="none"/>
        </w:rPr>
      </w:pPr>
      <w:r w:rsidRPr="001C3053">
        <w:rPr>
          <w:rFonts w:ascii="Times New Roman" w:eastAsia="Times New Roman" w:hAnsi="Times New Roman" w:cs="Times New Roman"/>
          <w:color w:val="000000"/>
          <w:kern w:val="0"/>
          <w14:ligatures w14:val="none"/>
        </w:rPr>
        <w:t>Landscape analysis revealed that coniferous forest (Class 4) nearly disappeared between 1994 and 2000, recovered significantly from 2000 to 2013, and declined again from 2013 to 2023. Broad</w:t>
      </w:r>
      <w:r w:rsidRPr="001C3053">
        <w:rPr>
          <w:rFonts w:ascii="Times New Roman" w:eastAsia="Times New Roman" w:hAnsi="Times New Roman" w:cs="Times New Roman"/>
          <w:color w:val="000000"/>
          <w:kern w:val="0"/>
          <w14:ligatures w14:val="none"/>
        </w:rPr>
        <w:noBreakHyphen/>
        <w:t>leaved forest (Class 3) showed an overall increasing trend but exhibited fragmentation in the recent period. Tree</w:t>
      </w:r>
      <w:r w:rsidRPr="001C3053">
        <w:rPr>
          <w:rFonts w:ascii="Times New Roman" w:eastAsia="Times New Roman" w:hAnsi="Times New Roman" w:cs="Times New Roman"/>
          <w:color w:val="000000"/>
          <w:kern w:val="0"/>
          <w14:ligatures w14:val="none"/>
        </w:rPr>
        <w:noBreakHyphen/>
        <w:t>ring chronologies showed differential climate responses across topographic positions: samples from high elevations (&gt;1900 m, T</w:t>
      </w:r>
      <w:r w:rsidRPr="001C3053">
        <w:rPr>
          <w:rFonts w:ascii="Times New Roman" w:eastAsia="Times New Roman" w:hAnsi="Times New Roman" w:cs="Times New Roman"/>
          <w:color w:val="000000"/>
          <w:kern w:val="0"/>
          <w14:ligatures w14:val="none"/>
        </w:rPr>
        <w:noBreakHyphen/>
        <w:t>series) displayed growth fluctuations closely synchronized with NDVI</w:t>
      </w:r>
      <w:r w:rsidRPr="001C3053">
        <w:rPr>
          <w:rFonts w:ascii="Times New Roman" w:eastAsia="Times New Roman" w:hAnsi="Times New Roman" w:cs="Times New Roman"/>
          <w:color w:val="000000"/>
          <w:kern w:val="0"/>
          <w14:ligatures w14:val="none"/>
        </w:rPr>
        <w:noBreakHyphen/>
        <w:t>derived coniferous forest area changes, whereas samples from mid</w:t>
      </w:r>
      <w:r w:rsidRPr="001C3053">
        <w:rPr>
          <w:rFonts w:ascii="Times New Roman" w:eastAsia="Times New Roman" w:hAnsi="Times New Roman" w:cs="Times New Roman"/>
          <w:color w:val="000000"/>
          <w:kern w:val="0"/>
          <w14:ligatures w14:val="none"/>
        </w:rPr>
        <w:noBreakHyphen/>
        <w:t>low elevations (&lt;1500 m, St</w:t>
      </w:r>
      <w:r w:rsidRPr="001C3053">
        <w:rPr>
          <w:rFonts w:ascii="Times New Roman" w:eastAsia="Times New Roman" w:hAnsi="Times New Roman" w:cs="Times New Roman"/>
          <w:color w:val="000000"/>
          <w:kern w:val="0"/>
          <w14:ligatures w14:val="none"/>
        </w:rPr>
        <w:noBreakHyphen/>
        <w:t>series) were more influenced by local aspect and hydrological conditions. Spatial overlay of sampling points with NDVI classes and topographic parameters identified the most vulnerable coniferous forest areas on northwest</w:t>
      </w:r>
      <w:r w:rsidRPr="001C3053">
        <w:rPr>
          <w:rFonts w:ascii="Times New Roman" w:eastAsia="Times New Roman" w:hAnsi="Times New Roman" w:cs="Times New Roman"/>
          <w:color w:val="000000"/>
          <w:kern w:val="0"/>
          <w14:ligatures w14:val="none"/>
        </w:rPr>
        <w:noBreakHyphen/>
        <w:t>facing slopes at 1600–1800 m elevation.</w:t>
      </w:r>
    </w:p>
    <w:p w14:paraId="439BF6BA" w14:textId="2717FF54" w:rsidR="001C3053" w:rsidRDefault="001C3053" w:rsidP="00055A15">
      <w:pPr>
        <w:spacing w:after="0" w:line="240" w:lineRule="auto"/>
        <w:jc w:val="both"/>
        <w:rPr>
          <w:rFonts w:ascii="Times New Roman" w:eastAsia="等线" w:hAnsi="Times New Roman" w:cs="Times New Roman"/>
          <w:kern w:val="0"/>
          <w:lang w:eastAsia="zh-CN"/>
          <w14:ligatures w14:val="none"/>
        </w:rPr>
      </w:pPr>
      <w:r w:rsidRPr="001C3053">
        <w:rPr>
          <w:rFonts w:ascii="Times New Roman" w:eastAsia="等线" w:hAnsi="Times New Roman" w:cs="Times New Roman"/>
          <w:kern w:val="0"/>
          <w:lang w:eastAsia="zh-CN"/>
          <w14:ligatures w14:val="none"/>
        </w:rPr>
        <w:t>The significant correlation between the tree</w:t>
      </w:r>
      <w:r w:rsidRPr="001C3053">
        <w:rPr>
          <w:rFonts w:ascii="Times New Roman" w:eastAsia="等线" w:hAnsi="Times New Roman" w:cs="Times New Roman"/>
          <w:kern w:val="0"/>
          <w:lang w:eastAsia="zh-CN"/>
          <w14:ligatures w14:val="none"/>
        </w:rPr>
        <w:noBreakHyphen/>
        <w:t>ring chronologies and NDVI time series validates the ecological reliability of satellite</w:t>
      </w:r>
      <w:r w:rsidRPr="001C3053">
        <w:rPr>
          <w:rFonts w:ascii="Times New Roman" w:eastAsia="等线" w:hAnsi="Times New Roman" w:cs="Times New Roman"/>
          <w:kern w:val="0"/>
          <w:lang w:eastAsia="zh-CN"/>
          <w14:ligatures w14:val="none"/>
        </w:rPr>
        <w:noBreakHyphen/>
        <w:t>based observations. </w:t>
      </w:r>
      <w:r w:rsidRPr="001C3053">
        <w:rPr>
          <w:rFonts w:ascii="Times New Roman" w:eastAsia="等线" w:hAnsi="Times New Roman" w:cs="Times New Roman" w:hint="eastAsia"/>
          <w:kern w:val="0"/>
          <w:lang w:eastAsia="zh-CN"/>
          <w14:ligatures w14:val="none"/>
        </w:rPr>
        <w:t>(</w:t>
      </w:r>
      <w:r w:rsidRPr="001C3053">
        <w:rPr>
          <w:rFonts w:ascii="Times New Roman" w:eastAsia="等线" w:hAnsi="Times New Roman" w:cs="Times New Roman"/>
          <w:kern w:val="0"/>
          <w:lang w:eastAsia="zh-CN"/>
          <w14:ligatures w14:val="none"/>
        </w:rPr>
        <w:t>Binda et al., 2021</w:t>
      </w:r>
      <w:r w:rsidRPr="001C3053">
        <w:rPr>
          <w:rFonts w:ascii="Times New Roman" w:eastAsia="等线" w:hAnsi="Times New Roman" w:cs="Times New Roman" w:hint="eastAsia"/>
          <w:kern w:val="0"/>
          <w:lang w:eastAsia="zh-CN"/>
          <w14:ligatures w14:val="none"/>
        </w:rPr>
        <w:t>)</w:t>
      </w:r>
      <w:r w:rsidRPr="001C3053">
        <w:rPr>
          <w:rFonts w:ascii="Times New Roman" w:eastAsia="等线" w:hAnsi="Times New Roman" w:cs="Times New Roman"/>
          <w:kern w:val="0"/>
          <w:lang w:eastAsia="zh-CN"/>
          <w14:ligatures w14:val="none"/>
        </w:rPr>
        <w:t xml:space="preserve"> Future integration of </w:t>
      </w:r>
      <w:proofErr w:type="spellStart"/>
      <w:r w:rsidRPr="001C3053">
        <w:rPr>
          <w:rFonts w:ascii="Times New Roman" w:eastAsia="等线" w:hAnsi="Times New Roman" w:cs="Times New Roman"/>
          <w:kern w:val="0"/>
          <w:lang w:eastAsia="zh-CN"/>
          <w14:ligatures w14:val="none"/>
        </w:rPr>
        <w:t>μXRF</w:t>
      </w:r>
      <w:proofErr w:type="spellEnd"/>
      <w:r w:rsidRPr="001C3053">
        <w:rPr>
          <w:rFonts w:ascii="Times New Roman" w:eastAsia="等线" w:hAnsi="Times New Roman" w:cs="Times New Roman"/>
          <w:kern w:val="0"/>
          <w:lang w:eastAsia="zh-CN"/>
          <w14:ligatures w14:val="none"/>
        </w:rPr>
        <w:t xml:space="preserve"> elemental data will trace interannual variations of calcium, lead, and other elements, further distinguishing the relative contributions of climate fluctuations and human disturbance to forest dynamics. </w:t>
      </w:r>
      <w:r w:rsidRPr="001C3053">
        <w:rPr>
          <w:rFonts w:ascii="Times New Roman" w:eastAsia="等线" w:hAnsi="Times New Roman" w:cs="Times New Roman" w:hint="eastAsia"/>
          <w:kern w:val="0"/>
          <w:lang w:eastAsia="zh-CN"/>
          <w14:ligatures w14:val="none"/>
        </w:rPr>
        <w:t>(</w:t>
      </w:r>
      <w:r w:rsidRPr="001C3053">
        <w:rPr>
          <w:rFonts w:ascii="Times New Roman" w:eastAsia="等线" w:hAnsi="Times New Roman" w:cs="Times New Roman"/>
          <w:kern w:val="0"/>
          <w:lang w:eastAsia="zh-CN"/>
          <w14:ligatures w14:val="none"/>
        </w:rPr>
        <w:t>Sánchez</w:t>
      </w:r>
      <w:r w:rsidRPr="001C3053">
        <w:rPr>
          <w:rFonts w:ascii="Times New Roman" w:eastAsia="等线" w:hAnsi="Times New Roman" w:cs="Times New Roman"/>
          <w:kern w:val="0"/>
          <w:lang w:eastAsia="zh-CN"/>
          <w14:ligatures w14:val="none"/>
        </w:rPr>
        <w:noBreakHyphen/>
        <w:t>Salguero et al., 2019</w:t>
      </w:r>
      <w:r w:rsidRPr="001C3053">
        <w:rPr>
          <w:rFonts w:ascii="Times New Roman" w:eastAsia="等线" w:hAnsi="Times New Roman" w:cs="Times New Roman" w:hint="eastAsia"/>
          <w:kern w:val="0"/>
          <w:lang w:eastAsia="zh-CN"/>
          <w14:ligatures w14:val="none"/>
        </w:rPr>
        <w:t>)</w:t>
      </w:r>
      <w:r w:rsidRPr="001C3053">
        <w:rPr>
          <w:rFonts w:ascii="Times New Roman" w:eastAsia="等线" w:hAnsi="Times New Roman" w:cs="Times New Roman"/>
          <w:kern w:val="0"/>
          <w:lang w:eastAsia="zh-CN"/>
          <w14:ligatures w14:val="none"/>
        </w:rPr>
        <w:t> This multi</w:t>
      </w:r>
      <w:r w:rsidRPr="001C3053">
        <w:rPr>
          <w:rFonts w:ascii="Times New Roman" w:eastAsia="等线" w:hAnsi="Times New Roman" w:cs="Times New Roman"/>
          <w:kern w:val="0"/>
          <w:lang w:eastAsia="zh-CN"/>
          <w14:ligatures w14:val="none"/>
        </w:rPr>
        <w:noBreakHyphen/>
        <w:t>proxy approach provides a robust baseline for paleoclimatic reconstruction and forest management in the Caucasus region, following recent methodological advances in quantitative wood chemistry.</w:t>
      </w:r>
      <w:r>
        <w:rPr>
          <w:rFonts w:ascii="Times New Roman" w:eastAsia="等线" w:hAnsi="Times New Roman" w:cs="Times New Roman" w:hint="eastAsia"/>
          <w:kern w:val="0"/>
          <w:lang w:eastAsia="zh-CN"/>
          <w14:ligatures w14:val="none"/>
        </w:rPr>
        <w:t xml:space="preserve"> </w:t>
      </w:r>
      <w:r w:rsidRPr="001C3053">
        <w:rPr>
          <w:rFonts w:ascii="Times New Roman" w:eastAsia="等线" w:hAnsi="Times New Roman" w:cs="Times New Roman" w:hint="eastAsia"/>
          <w:kern w:val="0"/>
          <w:lang w:eastAsia="zh-CN"/>
          <w14:ligatures w14:val="none"/>
        </w:rPr>
        <w:t>(</w:t>
      </w:r>
      <w:proofErr w:type="spellStart"/>
      <w:r w:rsidRPr="001C3053">
        <w:rPr>
          <w:rFonts w:ascii="Times New Roman" w:eastAsia="等线" w:hAnsi="Times New Roman" w:cs="Times New Roman"/>
          <w:kern w:val="0"/>
          <w:lang w:eastAsia="zh-CN"/>
          <w14:ligatures w14:val="none"/>
        </w:rPr>
        <w:t>Trojek</w:t>
      </w:r>
      <w:proofErr w:type="spellEnd"/>
      <w:r w:rsidRPr="001C3053">
        <w:rPr>
          <w:rFonts w:ascii="Times New Roman" w:eastAsia="等线" w:hAnsi="Times New Roman" w:cs="Times New Roman"/>
          <w:kern w:val="0"/>
          <w:lang w:eastAsia="zh-CN"/>
          <w14:ligatures w14:val="none"/>
        </w:rPr>
        <w:t xml:space="preserve"> &amp; Dušková, 2024</w:t>
      </w:r>
      <w:r w:rsidRPr="001C3053">
        <w:rPr>
          <w:rFonts w:ascii="Times New Roman" w:eastAsia="等线" w:hAnsi="Times New Roman" w:cs="Times New Roman"/>
          <w:kern w:val="0"/>
          <w:lang w:eastAsia="zh-CN"/>
          <w14:ligatures w14:val="none"/>
        </w:rPr>
        <w:t>；</w:t>
      </w:r>
      <w:r w:rsidRPr="001C3053">
        <w:rPr>
          <w:rFonts w:ascii="Times New Roman" w:eastAsia="等线" w:hAnsi="Times New Roman" w:cs="Times New Roman"/>
          <w:kern w:val="0"/>
          <w:lang w:eastAsia="zh-CN"/>
          <w14:ligatures w14:val="none"/>
        </w:rPr>
        <w:t>Rocha et al., 2020</w:t>
      </w:r>
      <w:r w:rsidRPr="001C3053">
        <w:rPr>
          <w:rFonts w:ascii="Times New Roman" w:eastAsia="等线" w:hAnsi="Times New Roman" w:cs="Times New Roman" w:hint="eastAsia"/>
          <w:kern w:val="0"/>
          <w:lang w:eastAsia="zh-CN"/>
          <w14:ligatures w14:val="none"/>
        </w:rPr>
        <w:t>)</w:t>
      </w:r>
    </w:p>
    <w:p w14:paraId="6296ECCD" w14:textId="363E57A8" w:rsidR="001C3053" w:rsidRPr="001C3053" w:rsidRDefault="001C3053" w:rsidP="00055A15">
      <w:pPr>
        <w:spacing w:after="0" w:line="240" w:lineRule="auto"/>
        <w:jc w:val="both"/>
        <w:rPr>
          <w:rFonts w:ascii="Times New Roman" w:eastAsia="等线" w:hAnsi="Times New Roman" w:cs="Times New Roman"/>
          <w:kern w:val="0"/>
          <w:lang w:eastAsia="zh-CN"/>
          <w14:ligatures w14:val="none"/>
        </w:rPr>
      </w:pPr>
      <w:r w:rsidRPr="001C3053">
        <w:rPr>
          <w:rFonts w:ascii="Times New Roman" w:eastAsia="等线" w:hAnsi="Times New Roman" w:cs="Times New Roman"/>
          <w:b/>
          <w:bCs/>
          <w:kern w:val="0"/>
          <w:lang w:eastAsia="zh-CN"/>
          <w14:ligatures w14:val="none"/>
        </w:rPr>
        <w:t>Keywords</w:t>
      </w:r>
      <w:r w:rsidRPr="001C3053">
        <w:rPr>
          <w:rFonts w:ascii="Times New Roman" w:eastAsia="等线" w:hAnsi="Times New Roman" w:cs="Times New Roman"/>
          <w:kern w:val="0"/>
          <w:lang w:eastAsia="zh-CN"/>
          <w14:ligatures w14:val="none"/>
        </w:rPr>
        <w:t>: dendrochronology; NDVI; landscape pattern; coniferous forest decline; topographic factors; multi</w:t>
      </w:r>
      <w:r w:rsidRPr="001C3053">
        <w:rPr>
          <w:rFonts w:ascii="Times New Roman" w:eastAsia="等线" w:hAnsi="Times New Roman" w:cs="Times New Roman"/>
          <w:kern w:val="0"/>
          <w:lang w:eastAsia="zh-CN"/>
          <w14:ligatures w14:val="none"/>
        </w:rPr>
        <w:noBreakHyphen/>
        <w:t>source data integration; Armenia</w:t>
      </w:r>
    </w:p>
    <w:p w14:paraId="020DB70C" w14:textId="287CEE47" w:rsidR="00055A15" w:rsidRPr="001E0A3B" w:rsidRDefault="00055A15" w:rsidP="00055A15">
      <w:pPr>
        <w:spacing w:after="0" w:line="240" w:lineRule="auto"/>
        <w:jc w:val="both"/>
        <w:rPr>
          <w:rFonts w:ascii="Times New Roman" w:eastAsia="Times New Roman" w:hAnsi="Times New Roman" w:cs="Times New Roman"/>
          <w:kern w:val="0"/>
          <w14:ligatures w14:val="none"/>
        </w:rPr>
      </w:pPr>
      <w:r w:rsidRPr="001E0A3B">
        <w:rPr>
          <w:rFonts w:ascii="Times New Roman" w:eastAsia="Times New Roman" w:hAnsi="Times New Roman" w:cs="Times New Roman"/>
          <w:b/>
          <w:bCs/>
          <w:kern w:val="0"/>
          <w14:ligatures w14:val="none"/>
        </w:rPr>
        <w:t>References</w:t>
      </w:r>
    </w:p>
    <w:p w14:paraId="7A79791C" w14:textId="6DA4E571" w:rsidR="00055A15" w:rsidRPr="001C3053" w:rsidRDefault="001C3053" w:rsidP="001C3053">
      <w:pPr>
        <w:pStyle w:val="a9"/>
        <w:numPr>
          <w:ilvl w:val="0"/>
          <w:numId w:val="12"/>
        </w:numPr>
        <w:rPr>
          <w:rFonts w:ascii="Times New Roman" w:hAnsi="Times New Roman" w:cs="Times New Roman" w:hint="eastAsia"/>
          <w:kern w:val="0"/>
          <w:lang w:eastAsia="zh-TW"/>
          <w14:ligatures w14:val="none"/>
        </w:rPr>
      </w:pPr>
      <w:r w:rsidRPr="001C3053">
        <w:rPr>
          <w:rFonts w:ascii="Times New Roman" w:hAnsi="Times New Roman" w:cs="Times New Roman"/>
          <w:kern w:val="0"/>
          <w:lang w:eastAsia="zh-TW"/>
          <w14:ligatures w14:val="none"/>
        </w:rPr>
        <w:t xml:space="preserve">Binda, G., Di Iorio, A., &amp; Monticelli, D. (2021). The what, how, why, and when of </w:t>
      </w:r>
      <w:proofErr w:type="spellStart"/>
      <w:r w:rsidRPr="001C3053">
        <w:rPr>
          <w:rFonts w:ascii="Times New Roman" w:hAnsi="Times New Roman" w:cs="Times New Roman"/>
          <w:kern w:val="0"/>
          <w:lang w:eastAsia="zh-TW"/>
          <w14:ligatures w14:val="none"/>
        </w:rPr>
        <w:t>dendrochemistry</w:t>
      </w:r>
      <w:proofErr w:type="spellEnd"/>
      <w:r w:rsidRPr="001C3053">
        <w:rPr>
          <w:rFonts w:ascii="Times New Roman" w:hAnsi="Times New Roman" w:cs="Times New Roman"/>
          <w:kern w:val="0"/>
          <w:lang w:eastAsia="zh-TW"/>
          <w14:ligatures w14:val="none"/>
        </w:rPr>
        <w:t>: (paleo)environmental information from the chemical analysis of tree rings. Science of the Total Environment, 758, 143672.</w:t>
      </w:r>
    </w:p>
    <w:p w14:paraId="7DB36109" w14:textId="77777777" w:rsidR="001C3053" w:rsidRPr="001C3053" w:rsidRDefault="001C3053" w:rsidP="001C3053">
      <w:pPr>
        <w:pStyle w:val="a9"/>
        <w:numPr>
          <w:ilvl w:val="0"/>
          <w:numId w:val="12"/>
        </w:numPr>
        <w:rPr>
          <w:rFonts w:ascii="Times New Roman" w:hAnsi="Times New Roman" w:cs="Times New Roman"/>
          <w:kern w:val="0"/>
          <w:lang w:eastAsia="zh-TW"/>
          <w14:ligatures w14:val="none"/>
        </w:rPr>
      </w:pPr>
      <w:r w:rsidRPr="001C3053">
        <w:rPr>
          <w:rFonts w:ascii="Times New Roman" w:hAnsi="Times New Roman" w:cs="Times New Roman"/>
          <w:kern w:val="0"/>
          <w:lang w:eastAsia="zh-TW"/>
          <w14:ligatures w14:val="none"/>
        </w:rPr>
        <w:t xml:space="preserve">Sánchez-Salguero, R., Camarero, J. J., Hevia, A., </w:t>
      </w:r>
      <w:proofErr w:type="spellStart"/>
      <w:r w:rsidRPr="001C3053">
        <w:rPr>
          <w:rFonts w:ascii="Times New Roman" w:hAnsi="Times New Roman" w:cs="Times New Roman"/>
          <w:kern w:val="0"/>
          <w:lang w:eastAsia="zh-TW"/>
          <w14:ligatures w14:val="none"/>
        </w:rPr>
        <w:t>Sangüesa</w:t>
      </w:r>
      <w:proofErr w:type="spellEnd"/>
      <w:r w:rsidRPr="001C3053">
        <w:rPr>
          <w:rFonts w:ascii="Times New Roman" w:hAnsi="Times New Roman" w:cs="Times New Roman"/>
          <w:kern w:val="0"/>
          <w:lang w:eastAsia="zh-TW"/>
          <w14:ligatures w14:val="none"/>
        </w:rPr>
        <w:t xml:space="preserve">-Barreda, G., Galván, J. D., &amp; Gutiérrez, E. (2019). Testing annual tree-ring chemistry by X-ray fluorescence for </w:t>
      </w:r>
      <w:r w:rsidRPr="001C3053">
        <w:rPr>
          <w:rFonts w:ascii="Times New Roman" w:hAnsi="Times New Roman" w:cs="Times New Roman"/>
          <w:kern w:val="0"/>
          <w:lang w:eastAsia="zh-TW"/>
          <w14:ligatures w14:val="none"/>
        </w:rPr>
        <w:lastRenderedPageBreak/>
        <w:t>dendroclimatic studies in high-elevation forests from the Spanish Pyrenees. Quaternary International, 514, 130–140.</w:t>
      </w:r>
    </w:p>
    <w:p w14:paraId="2657CFC5" w14:textId="77777777" w:rsidR="001C3053" w:rsidRPr="001C3053" w:rsidRDefault="001C3053" w:rsidP="001C3053">
      <w:pPr>
        <w:pStyle w:val="a9"/>
        <w:numPr>
          <w:ilvl w:val="0"/>
          <w:numId w:val="12"/>
        </w:numPr>
        <w:rPr>
          <w:rFonts w:ascii="Times New Roman" w:hAnsi="Times New Roman" w:cs="Times New Roman"/>
          <w:kern w:val="0"/>
          <w:lang w:eastAsia="zh-TW"/>
          <w14:ligatures w14:val="none"/>
        </w:rPr>
      </w:pPr>
      <w:proofErr w:type="spellStart"/>
      <w:r w:rsidRPr="001C3053">
        <w:rPr>
          <w:rFonts w:ascii="Times New Roman" w:hAnsi="Times New Roman" w:cs="Times New Roman"/>
          <w:kern w:val="0"/>
          <w:lang w:eastAsia="zh-TW"/>
          <w14:ligatures w14:val="none"/>
        </w:rPr>
        <w:t>Trojek</w:t>
      </w:r>
      <w:proofErr w:type="spellEnd"/>
      <w:r w:rsidRPr="001C3053">
        <w:rPr>
          <w:rFonts w:ascii="Times New Roman" w:hAnsi="Times New Roman" w:cs="Times New Roman"/>
          <w:kern w:val="0"/>
          <w:lang w:eastAsia="zh-TW"/>
          <w14:ligatures w14:val="none"/>
        </w:rPr>
        <w:t>, T., &amp; Dušková, A. (2024). Quantitative X-ray fluorescence micro-analysis of wood samples and visualization of tree rings. Radiation Physics and Chemistry, 216, 111456.</w:t>
      </w:r>
    </w:p>
    <w:p w14:paraId="7D450BB2" w14:textId="1E049161" w:rsidR="00944492" w:rsidRPr="001C3053" w:rsidRDefault="001C3053" w:rsidP="001C3053">
      <w:pPr>
        <w:pStyle w:val="a9"/>
        <w:numPr>
          <w:ilvl w:val="0"/>
          <w:numId w:val="12"/>
        </w:numPr>
        <w:rPr>
          <w:rFonts w:ascii="Times New Roman" w:hAnsi="Times New Roman" w:cs="Times New Roman" w:hint="eastAsia"/>
          <w:kern w:val="0"/>
          <w:lang w:eastAsia="zh-TW"/>
          <w14:ligatures w14:val="none"/>
        </w:rPr>
      </w:pPr>
      <w:r w:rsidRPr="001C3053">
        <w:rPr>
          <w:rFonts w:ascii="Times New Roman" w:hAnsi="Times New Roman" w:cs="Times New Roman"/>
          <w:kern w:val="0"/>
          <w:lang w:eastAsia="zh-TW"/>
          <w14:ligatures w14:val="none"/>
        </w:rPr>
        <w:t xml:space="preserve">Rocha, E., Gunnarson, B., Kylander, M. E., Augustsson, A., Rindby, A., &amp; </w:t>
      </w:r>
      <w:proofErr w:type="spellStart"/>
      <w:r w:rsidRPr="001C3053">
        <w:rPr>
          <w:rFonts w:ascii="Times New Roman" w:hAnsi="Times New Roman" w:cs="Times New Roman"/>
          <w:kern w:val="0"/>
          <w:lang w:eastAsia="zh-TW"/>
          <w14:ligatures w14:val="none"/>
        </w:rPr>
        <w:t>Holzkämper</w:t>
      </w:r>
      <w:proofErr w:type="spellEnd"/>
      <w:r w:rsidRPr="001C3053">
        <w:rPr>
          <w:rFonts w:ascii="Times New Roman" w:hAnsi="Times New Roman" w:cs="Times New Roman"/>
          <w:kern w:val="0"/>
          <w:lang w:eastAsia="zh-TW"/>
          <w14:ligatures w14:val="none"/>
        </w:rPr>
        <w:t xml:space="preserve">, S. (2020). Testing the applicability of </w:t>
      </w:r>
      <w:proofErr w:type="spellStart"/>
      <w:r w:rsidRPr="001C3053">
        <w:rPr>
          <w:rFonts w:ascii="Times New Roman" w:hAnsi="Times New Roman" w:cs="Times New Roman"/>
          <w:kern w:val="0"/>
          <w:lang w:eastAsia="zh-TW"/>
          <w14:ligatures w14:val="none"/>
        </w:rPr>
        <w:t>dendrochemistry</w:t>
      </w:r>
      <w:proofErr w:type="spellEnd"/>
      <w:r w:rsidRPr="001C3053">
        <w:rPr>
          <w:rFonts w:ascii="Times New Roman" w:hAnsi="Times New Roman" w:cs="Times New Roman"/>
          <w:kern w:val="0"/>
          <w:lang w:eastAsia="zh-TW"/>
          <w14:ligatures w14:val="none"/>
        </w:rPr>
        <w:t xml:space="preserve"> using X-ray fluorescence to trace environmental contamination at a glassworks site. Science of the Total Environment, 720, 137429.</w:t>
      </w:r>
    </w:p>
    <w:sectPr w:rsidR="00944492" w:rsidRPr="001C30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76662" w14:textId="77777777" w:rsidR="00A963EA" w:rsidRDefault="00A963EA" w:rsidP="00DB671C">
      <w:pPr>
        <w:spacing w:after="0" w:line="240" w:lineRule="auto"/>
      </w:pPr>
      <w:r>
        <w:separator/>
      </w:r>
    </w:p>
  </w:endnote>
  <w:endnote w:type="continuationSeparator" w:id="0">
    <w:p w14:paraId="14694294" w14:textId="77777777" w:rsidR="00A963EA" w:rsidRDefault="00A963EA" w:rsidP="00DB6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5C26D" w14:textId="77777777" w:rsidR="00A963EA" w:rsidRDefault="00A963EA" w:rsidP="00DB671C">
      <w:pPr>
        <w:spacing w:after="0" w:line="240" w:lineRule="auto"/>
      </w:pPr>
      <w:r>
        <w:separator/>
      </w:r>
    </w:p>
  </w:footnote>
  <w:footnote w:type="continuationSeparator" w:id="0">
    <w:p w14:paraId="68DB038D" w14:textId="77777777" w:rsidR="00A963EA" w:rsidRDefault="00A963EA" w:rsidP="00DB67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0101A"/>
    <w:multiLevelType w:val="hybridMultilevel"/>
    <w:tmpl w:val="D56293F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6305581"/>
    <w:multiLevelType w:val="multilevel"/>
    <w:tmpl w:val="1D5A5326"/>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E06DD5"/>
    <w:multiLevelType w:val="multilevel"/>
    <w:tmpl w:val="C1FA2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2E42B9"/>
    <w:multiLevelType w:val="hybridMultilevel"/>
    <w:tmpl w:val="EBC8F3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BBC7975"/>
    <w:multiLevelType w:val="multilevel"/>
    <w:tmpl w:val="7AA47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E85F67"/>
    <w:multiLevelType w:val="hybridMultilevel"/>
    <w:tmpl w:val="5C3AB1A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D57050D"/>
    <w:multiLevelType w:val="multilevel"/>
    <w:tmpl w:val="B4ACA7F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4371DE"/>
    <w:multiLevelType w:val="multilevel"/>
    <w:tmpl w:val="1D5A5326"/>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28B33E7"/>
    <w:multiLevelType w:val="hybridMultilevel"/>
    <w:tmpl w:val="C4BE5FD4"/>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724B761E"/>
    <w:multiLevelType w:val="hybridMultilevel"/>
    <w:tmpl w:val="7712682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72DA6B1A"/>
    <w:multiLevelType w:val="multilevel"/>
    <w:tmpl w:val="18EEE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F4129D"/>
    <w:multiLevelType w:val="multilevel"/>
    <w:tmpl w:val="81D8D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3418890">
    <w:abstractNumId w:val="2"/>
  </w:num>
  <w:num w:numId="2" w16cid:durableId="1394767464">
    <w:abstractNumId w:val="10"/>
  </w:num>
  <w:num w:numId="3" w16cid:durableId="1960649730">
    <w:abstractNumId w:val="11"/>
  </w:num>
  <w:num w:numId="4" w16cid:durableId="88963319">
    <w:abstractNumId w:val="4"/>
  </w:num>
  <w:num w:numId="5" w16cid:durableId="2018188148">
    <w:abstractNumId w:val="6"/>
  </w:num>
  <w:num w:numId="6" w16cid:durableId="1706102819">
    <w:abstractNumId w:val="7"/>
  </w:num>
  <w:num w:numId="7" w16cid:durableId="1022701851">
    <w:abstractNumId w:val="3"/>
  </w:num>
  <w:num w:numId="8" w16cid:durableId="1927108439">
    <w:abstractNumId w:val="8"/>
  </w:num>
  <w:num w:numId="9" w16cid:durableId="577832403">
    <w:abstractNumId w:val="5"/>
  </w:num>
  <w:num w:numId="10" w16cid:durableId="1779711700">
    <w:abstractNumId w:val="0"/>
  </w:num>
  <w:num w:numId="11" w16cid:durableId="23871268">
    <w:abstractNumId w:val="1"/>
  </w:num>
  <w:num w:numId="12" w16cid:durableId="18572314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C91"/>
    <w:rsid w:val="00055A15"/>
    <w:rsid w:val="000D2A4F"/>
    <w:rsid w:val="001150F1"/>
    <w:rsid w:val="00182DFB"/>
    <w:rsid w:val="001C3053"/>
    <w:rsid w:val="001D26D9"/>
    <w:rsid w:val="001E0A3B"/>
    <w:rsid w:val="002D2480"/>
    <w:rsid w:val="002E3335"/>
    <w:rsid w:val="00394E1E"/>
    <w:rsid w:val="004A1005"/>
    <w:rsid w:val="00541E93"/>
    <w:rsid w:val="0055708B"/>
    <w:rsid w:val="00572C28"/>
    <w:rsid w:val="00592798"/>
    <w:rsid w:val="005F7BEF"/>
    <w:rsid w:val="00845F6D"/>
    <w:rsid w:val="008A42F5"/>
    <w:rsid w:val="008F5626"/>
    <w:rsid w:val="00944492"/>
    <w:rsid w:val="009456F9"/>
    <w:rsid w:val="009C011C"/>
    <w:rsid w:val="009F300E"/>
    <w:rsid w:val="009F7166"/>
    <w:rsid w:val="00A963EA"/>
    <w:rsid w:val="00BA4913"/>
    <w:rsid w:val="00C92742"/>
    <w:rsid w:val="00CA4C91"/>
    <w:rsid w:val="00DB671C"/>
    <w:rsid w:val="00F32A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1C8E7C"/>
  <w15:chartTrackingRefBased/>
  <w15:docId w15:val="{E98C87B6-3B53-6542-BE0E-B45C7F2CC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A4C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A4C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A4C9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A4C9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A4C9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A4C9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A4C9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A4C9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A4C9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4C91"/>
    <w:rPr>
      <w:rFonts w:asciiTheme="majorHAnsi" w:eastAsiaTheme="majorEastAsia" w:hAnsiTheme="majorHAnsi" w:cstheme="majorBidi"/>
      <w:color w:val="0F4761" w:themeColor="accent1" w:themeShade="BF"/>
      <w:sz w:val="40"/>
      <w:szCs w:val="40"/>
    </w:rPr>
  </w:style>
  <w:style w:type="character" w:customStyle="1" w:styleId="20">
    <w:name w:val="标题 2 字符"/>
    <w:basedOn w:val="a0"/>
    <w:link w:val="2"/>
    <w:uiPriority w:val="9"/>
    <w:semiHidden/>
    <w:rsid w:val="00CA4C91"/>
    <w:rPr>
      <w:rFonts w:asciiTheme="majorHAnsi" w:eastAsiaTheme="majorEastAsia" w:hAnsiTheme="majorHAnsi" w:cstheme="majorBidi"/>
      <w:color w:val="0F4761" w:themeColor="accent1" w:themeShade="BF"/>
      <w:sz w:val="32"/>
      <w:szCs w:val="32"/>
    </w:rPr>
  </w:style>
  <w:style w:type="character" w:customStyle="1" w:styleId="30">
    <w:name w:val="标题 3 字符"/>
    <w:basedOn w:val="a0"/>
    <w:link w:val="3"/>
    <w:uiPriority w:val="9"/>
    <w:semiHidden/>
    <w:rsid w:val="00CA4C91"/>
    <w:rPr>
      <w:rFonts w:eastAsiaTheme="majorEastAsia" w:cstheme="majorBidi"/>
      <w:color w:val="0F4761" w:themeColor="accent1" w:themeShade="BF"/>
      <w:sz w:val="28"/>
      <w:szCs w:val="28"/>
    </w:rPr>
  </w:style>
  <w:style w:type="character" w:customStyle="1" w:styleId="40">
    <w:name w:val="标题 4 字符"/>
    <w:basedOn w:val="a0"/>
    <w:link w:val="4"/>
    <w:uiPriority w:val="9"/>
    <w:semiHidden/>
    <w:rsid w:val="00CA4C91"/>
    <w:rPr>
      <w:rFonts w:eastAsiaTheme="majorEastAsia" w:cstheme="majorBidi"/>
      <w:i/>
      <w:iCs/>
      <w:color w:val="0F4761" w:themeColor="accent1" w:themeShade="BF"/>
    </w:rPr>
  </w:style>
  <w:style w:type="character" w:customStyle="1" w:styleId="50">
    <w:name w:val="标题 5 字符"/>
    <w:basedOn w:val="a0"/>
    <w:link w:val="5"/>
    <w:uiPriority w:val="9"/>
    <w:semiHidden/>
    <w:rsid w:val="00CA4C91"/>
    <w:rPr>
      <w:rFonts w:eastAsiaTheme="majorEastAsia" w:cstheme="majorBidi"/>
      <w:color w:val="0F4761" w:themeColor="accent1" w:themeShade="BF"/>
    </w:rPr>
  </w:style>
  <w:style w:type="character" w:customStyle="1" w:styleId="60">
    <w:name w:val="标题 6 字符"/>
    <w:basedOn w:val="a0"/>
    <w:link w:val="6"/>
    <w:uiPriority w:val="9"/>
    <w:semiHidden/>
    <w:rsid w:val="00CA4C91"/>
    <w:rPr>
      <w:rFonts w:eastAsiaTheme="majorEastAsia" w:cstheme="majorBidi"/>
      <w:i/>
      <w:iCs/>
      <w:color w:val="595959" w:themeColor="text1" w:themeTint="A6"/>
    </w:rPr>
  </w:style>
  <w:style w:type="character" w:customStyle="1" w:styleId="70">
    <w:name w:val="标题 7 字符"/>
    <w:basedOn w:val="a0"/>
    <w:link w:val="7"/>
    <w:uiPriority w:val="9"/>
    <w:semiHidden/>
    <w:rsid w:val="00CA4C91"/>
    <w:rPr>
      <w:rFonts w:eastAsiaTheme="majorEastAsia" w:cstheme="majorBidi"/>
      <w:color w:val="595959" w:themeColor="text1" w:themeTint="A6"/>
    </w:rPr>
  </w:style>
  <w:style w:type="character" w:customStyle="1" w:styleId="80">
    <w:name w:val="标题 8 字符"/>
    <w:basedOn w:val="a0"/>
    <w:link w:val="8"/>
    <w:uiPriority w:val="9"/>
    <w:semiHidden/>
    <w:rsid w:val="00CA4C91"/>
    <w:rPr>
      <w:rFonts w:eastAsiaTheme="majorEastAsia" w:cstheme="majorBidi"/>
      <w:i/>
      <w:iCs/>
      <w:color w:val="272727" w:themeColor="text1" w:themeTint="D8"/>
    </w:rPr>
  </w:style>
  <w:style w:type="character" w:customStyle="1" w:styleId="90">
    <w:name w:val="标题 9 字符"/>
    <w:basedOn w:val="a0"/>
    <w:link w:val="9"/>
    <w:uiPriority w:val="9"/>
    <w:semiHidden/>
    <w:rsid w:val="00CA4C91"/>
    <w:rPr>
      <w:rFonts w:eastAsiaTheme="majorEastAsia" w:cstheme="majorBidi"/>
      <w:color w:val="272727" w:themeColor="text1" w:themeTint="D8"/>
    </w:rPr>
  </w:style>
  <w:style w:type="paragraph" w:styleId="a3">
    <w:name w:val="Title"/>
    <w:basedOn w:val="a"/>
    <w:next w:val="a"/>
    <w:link w:val="a4"/>
    <w:uiPriority w:val="10"/>
    <w:qFormat/>
    <w:rsid w:val="00CA4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4C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4C91"/>
    <w:pPr>
      <w:numPr>
        <w:ilvl w:val="1"/>
      </w:numPr>
    </w:pPr>
    <w:rPr>
      <w:rFonts w:eastAsiaTheme="majorEastAsia" w:cstheme="majorBidi"/>
      <w:color w:val="595959" w:themeColor="text1" w:themeTint="A6"/>
      <w:spacing w:val="15"/>
      <w:sz w:val="28"/>
      <w:szCs w:val="28"/>
    </w:rPr>
  </w:style>
  <w:style w:type="character" w:customStyle="1" w:styleId="a6">
    <w:name w:val="副标题 字符"/>
    <w:basedOn w:val="a0"/>
    <w:link w:val="a5"/>
    <w:uiPriority w:val="11"/>
    <w:rsid w:val="00CA4C9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A4C91"/>
    <w:pPr>
      <w:spacing w:before="160"/>
      <w:jc w:val="center"/>
    </w:pPr>
    <w:rPr>
      <w:i/>
      <w:iCs/>
      <w:color w:val="404040" w:themeColor="text1" w:themeTint="BF"/>
    </w:rPr>
  </w:style>
  <w:style w:type="character" w:customStyle="1" w:styleId="a8">
    <w:name w:val="引用 字符"/>
    <w:basedOn w:val="a0"/>
    <w:link w:val="a7"/>
    <w:uiPriority w:val="29"/>
    <w:rsid w:val="00CA4C91"/>
    <w:rPr>
      <w:i/>
      <w:iCs/>
      <w:color w:val="404040" w:themeColor="text1" w:themeTint="BF"/>
    </w:rPr>
  </w:style>
  <w:style w:type="paragraph" w:styleId="a9">
    <w:name w:val="List Paragraph"/>
    <w:basedOn w:val="a"/>
    <w:uiPriority w:val="34"/>
    <w:qFormat/>
    <w:rsid w:val="00CA4C91"/>
    <w:pPr>
      <w:ind w:left="720"/>
      <w:contextualSpacing/>
    </w:pPr>
  </w:style>
  <w:style w:type="character" w:styleId="aa">
    <w:name w:val="Intense Emphasis"/>
    <w:basedOn w:val="a0"/>
    <w:uiPriority w:val="21"/>
    <w:qFormat/>
    <w:rsid w:val="00CA4C91"/>
    <w:rPr>
      <w:i/>
      <w:iCs/>
      <w:color w:val="0F4761" w:themeColor="accent1" w:themeShade="BF"/>
    </w:rPr>
  </w:style>
  <w:style w:type="paragraph" w:styleId="ab">
    <w:name w:val="Intense Quote"/>
    <w:basedOn w:val="a"/>
    <w:next w:val="a"/>
    <w:link w:val="ac"/>
    <w:uiPriority w:val="30"/>
    <w:qFormat/>
    <w:rsid w:val="00CA4C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CA4C91"/>
    <w:rPr>
      <w:i/>
      <w:iCs/>
      <w:color w:val="0F4761" w:themeColor="accent1" w:themeShade="BF"/>
    </w:rPr>
  </w:style>
  <w:style w:type="character" w:styleId="ad">
    <w:name w:val="Intense Reference"/>
    <w:basedOn w:val="a0"/>
    <w:uiPriority w:val="32"/>
    <w:qFormat/>
    <w:rsid w:val="00CA4C91"/>
    <w:rPr>
      <w:b/>
      <w:bCs/>
      <w:smallCaps/>
      <w:color w:val="0F4761" w:themeColor="accent1" w:themeShade="BF"/>
      <w:spacing w:val="5"/>
    </w:rPr>
  </w:style>
  <w:style w:type="paragraph" w:styleId="ae">
    <w:name w:val="Normal (Web)"/>
    <w:basedOn w:val="a"/>
    <w:uiPriority w:val="99"/>
    <w:semiHidden/>
    <w:unhideWhenUsed/>
    <w:rsid w:val="00CA4C9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
    <w:name w:val="Strong"/>
    <w:basedOn w:val="a0"/>
    <w:uiPriority w:val="22"/>
    <w:qFormat/>
    <w:rsid w:val="00CA4C91"/>
    <w:rPr>
      <w:b/>
      <w:bCs/>
    </w:rPr>
  </w:style>
  <w:style w:type="character" w:customStyle="1" w:styleId="apple-converted-space">
    <w:name w:val="apple-converted-space"/>
    <w:basedOn w:val="a0"/>
    <w:rsid w:val="00CA4C91"/>
  </w:style>
  <w:style w:type="character" w:styleId="af0">
    <w:name w:val="Hyperlink"/>
    <w:basedOn w:val="a0"/>
    <w:uiPriority w:val="99"/>
    <w:semiHidden/>
    <w:unhideWhenUsed/>
    <w:rsid w:val="00CA4C91"/>
    <w:rPr>
      <w:color w:val="0000FF"/>
      <w:u w:val="single"/>
    </w:rPr>
  </w:style>
  <w:style w:type="character" w:styleId="af1">
    <w:name w:val="Emphasis"/>
    <w:basedOn w:val="a0"/>
    <w:uiPriority w:val="20"/>
    <w:qFormat/>
    <w:rsid w:val="00CA4C91"/>
    <w:rPr>
      <w:i/>
      <w:iCs/>
    </w:rPr>
  </w:style>
  <w:style w:type="paragraph" w:styleId="af2">
    <w:name w:val="header"/>
    <w:basedOn w:val="a"/>
    <w:link w:val="af3"/>
    <w:uiPriority w:val="99"/>
    <w:unhideWhenUsed/>
    <w:rsid w:val="00DB671C"/>
    <w:pPr>
      <w:tabs>
        <w:tab w:val="center" w:pos="4153"/>
        <w:tab w:val="right" w:pos="8306"/>
      </w:tabs>
      <w:snapToGrid w:val="0"/>
    </w:pPr>
    <w:rPr>
      <w:sz w:val="20"/>
      <w:szCs w:val="20"/>
    </w:rPr>
  </w:style>
  <w:style w:type="character" w:customStyle="1" w:styleId="af3">
    <w:name w:val="页眉 字符"/>
    <w:basedOn w:val="a0"/>
    <w:link w:val="af2"/>
    <w:uiPriority w:val="99"/>
    <w:rsid w:val="00DB671C"/>
    <w:rPr>
      <w:sz w:val="20"/>
      <w:szCs w:val="20"/>
    </w:rPr>
  </w:style>
  <w:style w:type="paragraph" w:styleId="af4">
    <w:name w:val="footer"/>
    <w:basedOn w:val="a"/>
    <w:link w:val="af5"/>
    <w:uiPriority w:val="99"/>
    <w:unhideWhenUsed/>
    <w:rsid w:val="00DB671C"/>
    <w:pPr>
      <w:tabs>
        <w:tab w:val="center" w:pos="4153"/>
        <w:tab w:val="right" w:pos="8306"/>
      </w:tabs>
      <w:snapToGrid w:val="0"/>
    </w:pPr>
    <w:rPr>
      <w:sz w:val="20"/>
      <w:szCs w:val="20"/>
    </w:rPr>
  </w:style>
  <w:style w:type="character" w:customStyle="1" w:styleId="af5">
    <w:name w:val="页脚 字符"/>
    <w:basedOn w:val="a0"/>
    <w:link w:val="af4"/>
    <w:uiPriority w:val="99"/>
    <w:rsid w:val="00DB671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ED685-DFA1-4D0C-B8A3-BCBBC6978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519</Words>
  <Characters>3497</Characters>
  <Application>Microsoft Office Word</Application>
  <DocSecurity>0</DocSecurity>
  <Lines>56</Lines>
  <Paragraphs>13</Paragraphs>
  <ScaleCrop>false</ScaleCrop>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Bozdaganyan</dc:creator>
  <cp:keywords/>
  <dc:description/>
  <cp:lastModifiedBy>Jr 朱</cp:lastModifiedBy>
  <cp:revision>7</cp:revision>
  <cp:lastPrinted>2026-04-04T07:42:00Z</cp:lastPrinted>
  <dcterms:created xsi:type="dcterms:W3CDTF">2026-04-04T07:42:00Z</dcterms:created>
  <dcterms:modified xsi:type="dcterms:W3CDTF">2026-04-06T03:46:00Z</dcterms:modified>
</cp:coreProperties>
</file>