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B4F3A">
      <w:pPr>
        <w:widowControl/>
        <w:spacing w:after="160"/>
        <w:jc w:val="center"/>
        <w:rPr>
          <w:rFonts w:ascii="Times New Roman" w:hAnsi="Times New Roman" w:cs="Times New Roman" w:eastAsiaTheme="minorHAnsi"/>
          <w:b/>
          <w:bCs/>
          <w:sz w:val="24"/>
          <w:lang w:eastAsia="en-US"/>
          <w14:ligatures w14:val="standardContextual"/>
        </w:rPr>
      </w:pPr>
      <w:r>
        <w:rPr>
          <w:rFonts w:ascii="Times New Roman" w:hAnsi="Times New Roman" w:cs="Times New Roman" w:eastAsiaTheme="minorHAnsi"/>
          <w:b/>
          <w:bCs/>
          <w:sz w:val="24"/>
          <w:lang w:eastAsia="en-US"/>
          <w14:ligatures w14:val="standardContextual"/>
        </w:rPr>
        <w:t>Digital Performance Management: Building a Strategic Closed-Loop System</w:t>
      </w:r>
    </w:p>
    <w:p w14:paraId="27B65D66">
      <w:pPr>
        <w:jc w:val="center"/>
        <w:rPr>
          <w:rFonts w:hint="default" w:ascii="Times New Roman" w:hAnsi="Times New Roman" w:cs="Times New Roman" w:eastAsiaTheme="minorEastAsia"/>
          <w:b/>
          <w:bCs/>
          <w:i/>
          <w:iCs/>
          <w:sz w:val="24"/>
          <w:lang w:val="en-US" w:eastAsia="zh-CN"/>
        </w:rPr>
      </w:pPr>
      <w:r>
        <w:rPr>
          <w:rFonts w:ascii="Times New Roman" w:hAnsi="Times New Roman" w:cs="Times New Roman"/>
          <w:b/>
          <w:bCs/>
          <w:i/>
          <w:iCs/>
          <w:sz w:val="24"/>
        </w:rPr>
        <w:t>Liu H</w:t>
      </w:r>
      <w:r>
        <w:rPr>
          <w:rFonts w:hint="eastAsia" w:ascii="Times New Roman" w:hAnsi="Times New Roman" w:cs="Times New Roman"/>
          <w:b/>
          <w:bCs/>
          <w:i/>
          <w:iCs/>
          <w:sz w:val="24"/>
          <w:lang w:val="en-US" w:eastAsia="zh-CN"/>
        </w:rPr>
        <w:t>engsheng</w:t>
      </w:r>
      <w:r>
        <w:rPr>
          <w:rFonts w:ascii="Times New Roman" w:hAnsi="Times New Roman" w:cs="Times New Roman"/>
          <w:b/>
          <w:bCs/>
          <w:i/>
          <w:iCs/>
          <w:sz w:val="24"/>
        </w:rPr>
        <w:t>, Ren J</w:t>
      </w:r>
      <w:r>
        <w:rPr>
          <w:rFonts w:hint="eastAsia" w:ascii="Times New Roman" w:hAnsi="Times New Roman" w:cs="Times New Roman"/>
          <w:b/>
          <w:bCs/>
          <w:i/>
          <w:iCs/>
          <w:sz w:val="24"/>
          <w:lang w:val="en-US" w:eastAsia="zh-CN"/>
        </w:rPr>
        <w:t>iaxin</w:t>
      </w:r>
    </w:p>
    <w:p w14:paraId="694475CE">
      <w:pPr>
        <w:jc w:val="center"/>
        <w:rPr>
          <w:rFonts w:ascii="Times New Roman" w:hAnsi="Times New Roman" w:cs="Times New Roman"/>
          <w:i/>
          <w:sz w:val="24"/>
        </w:rPr>
      </w:pPr>
      <w:r>
        <w:rPr>
          <w:rFonts w:ascii="Times New Roman" w:hAnsi="Times New Roman" w:cs="Times New Roman"/>
          <w:i/>
          <w:sz w:val="24"/>
        </w:rPr>
        <w:t>Master’s student, first year</w:t>
      </w:r>
    </w:p>
    <w:p w14:paraId="3A98D306">
      <w:pPr>
        <w:jc w:val="center"/>
        <w:rPr>
          <w:rFonts w:ascii="Times New Roman" w:hAnsi="Times New Roman" w:cs="Times New Roman"/>
          <w:i/>
          <w:sz w:val="24"/>
        </w:rPr>
      </w:pPr>
      <w:r>
        <w:rPr>
          <w:rFonts w:ascii="Times New Roman" w:hAnsi="Times New Roman" w:cs="Times New Roman"/>
          <w:i/>
          <w:sz w:val="24"/>
        </w:rPr>
        <w:t>Shenzhen MSU-BIT University, Shenzhen, China</w:t>
      </w:r>
    </w:p>
    <w:p w14:paraId="5653613A">
      <w:pPr>
        <w:jc w:val="center"/>
        <w:rPr>
          <w:rFonts w:ascii="Times New Roman" w:hAnsi="Times New Roman" w:cs="Times New Roman"/>
          <w:i/>
          <w:sz w:val="24"/>
        </w:rPr>
      </w:pPr>
      <w:r>
        <w:rPr>
          <w:rFonts w:ascii="Times New Roman" w:hAnsi="Times New Roman" w:cs="Times New Roman"/>
          <w:i/>
          <w:sz w:val="24"/>
        </w:rPr>
        <w:t xml:space="preserve">E-mail: </w:t>
      </w:r>
      <w:r>
        <w:rPr>
          <w:rFonts w:hint="eastAsia" w:ascii="Times New Roman" w:hAnsi="Times New Roman" w:cs="Times New Roman"/>
          <w:i/>
          <w:sz w:val="24"/>
        </w:rPr>
        <w:t>zdmhi@mail.ru</w:t>
      </w:r>
    </w:p>
    <w:p w14:paraId="551C859C">
      <w:pPr>
        <w:ind w:firstLine="397"/>
        <w:rPr>
          <w:rFonts w:ascii="Times New Roman" w:hAnsi="Times New Roman" w:eastAsia="宋体" w:cs="Times New Roman"/>
          <w:sz w:val="24"/>
        </w:rPr>
      </w:pPr>
      <w:r>
        <w:rPr>
          <w:rFonts w:ascii="Times New Roman" w:hAnsi="Times New Roman" w:eastAsia="宋体" w:cs="Times New Roman"/>
          <w:sz w:val="24"/>
        </w:rPr>
        <w:t>Traditional performance management models often fall short in supporting strategy implementation due to fragmented stages, misalignment between performance objectives and strategy, and delayed feedback [2]. In response, strategic human resource management (HRM) reframes how human resources generate strategic value [4]. Effective implementation of strategic HRM requires a strategically aligned performance management system [1]. Advances in digital technologies enable the development of a closed-loop performance management system, thus supporting strategic HRM.</w:t>
      </w:r>
    </w:p>
    <w:p w14:paraId="423E9BFF">
      <w:pPr>
        <w:numPr>
          <w:ilvl w:val="0"/>
          <w:numId w:val="1"/>
        </w:numPr>
        <w:rPr>
          <w:rFonts w:ascii="Times New Roman" w:hAnsi="Times New Roman" w:eastAsia="宋体" w:cs="Times New Roman"/>
          <w:sz w:val="24"/>
        </w:rPr>
      </w:pPr>
      <w:r>
        <w:rPr>
          <w:rFonts w:ascii="Times New Roman" w:hAnsi="Times New Roman" w:eastAsia="宋体" w:cs="Times New Roman"/>
          <w:b/>
          <w:bCs/>
          <w:sz w:val="24"/>
        </w:rPr>
        <w:t>Preparation and Goal Setting: From "Task Assignment" to "Strategic Alignment"</w:t>
      </w:r>
    </w:p>
    <w:p w14:paraId="76F355CF">
      <w:pPr>
        <w:ind w:firstLine="397"/>
        <w:rPr>
          <w:rFonts w:ascii="Times New Roman" w:hAnsi="Times New Roman" w:eastAsia="宋体" w:cs="Times New Roman"/>
          <w:sz w:val="24"/>
        </w:rPr>
      </w:pPr>
      <w:r>
        <w:rPr>
          <w:rFonts w:ascii="Times New Roman" w:hAnsi="Times New Roman" w:eastAsia="宋体" w:cs="Times New Roman"/>
          <w:sz w:val="24"/>
        </w:rPr>
        <w:t>In traditional management systems, when organizational goals are cascaded from top to bottom, information is often lost or distorted. Organizations often lack a clear alignment mechanism between departmental and individual goals, which reduces goal setting to task assignment. This undermines the direct linkage between organizational strategy and individual performance.</w:t>
      </w:r>
    </w:p>
    <w:p w14:paraId="702FCDAC">
      <w:pPr>
        <w:ind w:firstLine="397"/>
        <w:rPr>
          <w:rFonts w:ascii="Times New Roman" w:hAnsi="Times New Roman" w:eastAsia="宋体" w:cs="Times New Roman"/>
          <w:sz w:val="24"/>
        </w:rPr>
      </w:pPr>
      <w:r>
        <w:rPr>
          <w:rFonts w:ascii="Times New Roman" w:hAnsi="Times New Roman" w:eastAsia="宋体" w:cs="Times New Roman"/>
          <w:sz w:val="24"/>
        </w:rPr>
        <w:t>With the support of digital technologies, organizations with established management systems can leverage digital collaborative platforms to develop an integrated OKR/KPI system, to achieve cascading and visual alignment from organizational goals to departmental and individual goals [3]. Organizations can set target ranges based on historical data to ensure that goals at all levels are both challenging and strategically aligned. Meanwhile, the system tracks target changes and supports rapid updates in response to strategic changes.</w:t>
      </w:r>
    </w:p>
    <w:p w14:paraId="74F239D7">
      <w:pPr>
        <w:ind w:firstLine="397"/>
        <w:rPr>
          <w:rFonts w:ascii="Times New Roman" w:hAnsi="Times New Roman" w:eastAsia="宋体" w:cs="Times New Roman"/>
          <w:sz w:val="24"/>
        </w:rPr>
      </w:pPr>
      <w:r>
        <w:rPr>
          <w:rFonts w:ascii="Times New Roman" w:hAnsi="Times New Roman" w:eastAsia="宋体" w:cs="Times New Roman"/>
          <w:sz w:val="24"/>
        </w:rPr>
        <w:t>From a strategic perspective, this mechanism helps ensure that employees clearly understand the linkage between their work and organizational strategy, thereby aligning individual goals with the strategy from the outset.</w:t>
      </w:r>
    </w:p>
    <w:p w14:paraId="0BA1DEC6">
      <w:pPr>
        <w:numPr>
          <w:ilvl w:val="0"/>
          <w:numId w:val="1"/>
        </w:numPr>
        <w:ind w:left="0" w:leftChars="0" w:firstLine="0" w:firstLineChars="0"/>
        <w:rPr>
          <w:rFonts w:ascii="Times New Roman" w:hAnsi="Times New Roman" w:eastAsia="宋体" w:cs="Times New Roman"/>
          <w:sz w:val="24"/>
        </w:rPr>
      </w:pPr>
      <w:r>
        <w:rPr>
          <w:rFonts w:ascii="Times New Roman" w:hAnsi="Times New Roman" w:eastAsia="宋体" w:cs="Times New Roman"/>
          <w:b/>
          <w:bCs/>
          <w:sz w:val="24"/>
        </w:rPr>
        <w:t>Process Management and Coaching: From "Post-hoc Assessment" to "Strategic Monitoring"</w:t>
      </w:r>
    </w:p>
    <w:p w14:paraId="5BEC1A89">
      <w:pPr>
        <w:ind w:firstLine="397"/>
        <w:rPr>
          <w:rFonts w:ascii="Times New Roman" w:hAnsi="Times New Roman" w:eastAsia="宋体" w:cs="Times New Roman"/>
          <w:sz w:val="24"/>
        </w:rPr>
      </w:pPr>
      <w:r>
        <w:rPr>
          <w:rFonts w:ascii="Times New Roman" w:hAnsi="Times New Roman" w:eastAsia="宋体" w:cs="Times New Roman"/>
          <w:sz w:val="24"/>
        </w:rPr>
        <w:t>In traditional management practices, managers lack real-time visibility into employees’ work progress, resulting in coaching and feedback being often delayed relative to the implementation process. With the support of digital technologies, project management tools and business systems can track work progress and generate comprehensive process data. Managers can monitor team progress using real-time dashboards and intervene promptly to provide coaching when anomalies are detected, ensuring that strategy implementation does not deviate from its intended course.</w:t>
      </w:r>
    </w:p>
    <w:p w14:paraId="0BC2D3FD">
      <w:pPr>
        <w:ind w:firstLine="397"/>
        <w:rPr>
          <w:rFonts w:ascii="Times New Roman" w:hAnsi="Times New Roman" w:eastAsia="宋体" w:cs="Times New Roman"/>
          <w:sz w:val="24"/>
        </w:rPr>
      </w:pPr>
      <w:r>
        <w:rPr>
          <w:rFonts w:ascii="Times New Roman" w:hAnsi="Times New Roman" w:eastAsia="宋体" w:cs="Times New Roman"/>
          <w:sz w:val="24"/>
        </w:rPr>
        <w:t>From a strategic perspective, this model transforms traditional after-the-fact assessment into real-time management, making the strategy implementation process observable and manageable, thus improving the effectiveness of strategy implementation.</w:t>
      </w:r>
    </w:p>
    <w:p w14:paraId="4C4B38B2">
      <w:pPr>
        <w:numPr>
          <w:ilvl w:val="0"/>
          <w:numId w:val="1"/>
        </w:numPr>
        <w:ind w:left="0" w:leftChars="0" w:firstLine="0" w:firstLineChars="0"/>
        <w:rPr>
          <w:rFonts w:ascii="Times New Roman" w:hAnsi="Times New Roman" w:eastAsia="宋体" w:cs="Times New Roman"/>
          <w:sz w:val="24"/>
        </w:rPr>
      </w:pPr>
      <w:r>
        <w:rPr>
          <w:rFonts w:ascii="Times New Roman" w:hAnsi="Times New Roman" w:eastAsia="宋体" w:cs="Times New Roman"/>
          <w:b/>
          <w:bCs/>
          <w:sz w:val="24"/>
        </w:rPr>
        <w:t>Evaluation and Rating: From "Subjective Impression" to "Identifying Strategic Contributors"</w:t>
      </w:r>
    </w:p>
    <w:p w14:paraId="7CCAEFCF">
      <w:pPr>
        <w:ind w:firstLine="397"/>
        <w:rPr>
          <w:rFonts w:ascii="Times New Roman" w:hAnsi="Times New Roman" w:eastAsia="宋体" w:cs="Times New Roman"/>
          <w:sz w:val="24"/>
        </w:rPr>
      </w:pPr>
      <w:r>
        <w:rPr>
          <w:rFonts w:ascii="Times New Roman" w:hAnsi="Times New Roman" w:eastAsia="宋体" w:cs="Times New Roman"/>
          <w:sz w:val="24"/>
        </w:rPr>
        <w:t>In traditional management practices, performance evaluation often relies on managers’ subjective impressions, is susceptible to cognitive biases such as the halo effect, and makes it difficult to measure employees’ contributions to strategic goals objectively [5]. With the integration of multi-source data, including project completion status, milestone achievement rates, and collaboration data, the system supports automated aggregation and distribution of 360-degree assessments, enhancing anonymity and processing efficiency.</w:t>
      </w:r>
    </w:p>
    <w:p w14:paraId="6FBCCDD9">
      <w:pPr>
        <w:ind w:firstLine="397"/>
        <w:rPr>
          <w:rFonts w:ascii="Times New Roman" w:hAnsi="Times New Roman" w:eastAsia="宋体" w:cs="Times New Roman"/>
          <w:sz w:val="24"/>
        </w:rPr>
      </w:pPr>
      <w:r>
        <w:rPr>
          <w:rFonts w:ascii="Times New Roman" w:hAnsi="Times New Roman" w:eastAsia="宋体" w:cs="Times New Roman"/>
          <w:sz w:val="24"/>
        </w:rPr>
        <w:t>From a strategic perspective, this mechanism enhances the objectivity of performance evaluation, helping identify employees who have made substantive contributions to strategic goals.</w:t>
      </w:r>
    </w:p>
    <w:p w14:paraId="55577CBF">
      <w:pPr>
        <w:numPr>
          <w:ilvl w:val="0"/>
          <w:numId w:val="1"/>
        </w:numPr>
        <w:ind w:left="0" w:leftChars="0" w:firstLine="0" w:firstLineChars="0"/>
        <w:rPr>
          <w:rFonts w:ascii="Times New Roman" w:hAnsi="Times New Roman" w:eastAsia="宋体" w:cs="Times New Roman"/>
          <w:b/>
          <w:bCs/>
          <w:sz w:val="24"/>
        </w:rPr>
      </w:pPr>
      <w:r>
        <w:rPr>
          <w:rFonts w:ascii="Times New Roman" w:hAnsi="Times New Roman" w:eastAsia="宋体" w:cs="Times New Roman"/>
          <w:b/>
          <w:bCs/>
          <w:sz w:val="24"/>
        </w:rPr>
        <w:t>Performance Interview and Feedback: From "Perfunctory Communication" to "Strategic Consensus Building"</w:t>
      </w:r>
    </w:p>
    <w:p w14:paraId="18599A49">
      <w:pPr>
        <w:ind w:firstLine="397"/>
        <w:rPr>
          <w:rFonts w:ascii="Times New Roman" w:hAnsi="Times New Roman" w:eastAsia="宋体" w:cs="Times New Roman"/>
          <w:sz w:val="24"/>
        </w:rPr>
      </w:pPr>
      <w:r>
        <w:rPr>
          <w:rFonts w:ascii="Times New Roman" w:hAnsi="Times New Roman" w:eastAsia="宋体" w:cs="Times New Roman"/>
          <w:sz w:val="24"/>
        </w:rPr>
        <w:t>In traditional management practice, it is difficult to retain interview records, feedback lacks continuity, and annual performance interviews are often a mere formality, failing to truly play the role of communicating strategy and building consensus.</w:t>
      </w:r>
    </w:p>
    <w:p w14:paraId="40808F67">
      <w:pPr>
        <w:ind w:firstLine="397"/>
        <w:rPr>
          <w:rFonts w:ascii="Times New Roman" w:hAnsi="Times New Roman" w:eastAsia="宋体" w:cs="Times New Roman"/>
          <w:sz w:val="24"/>
        </w:rPr>
      </w:pPr>
      <w:r>
        <w:rPr>
          <w:rFonts w:ascii="Times New Roman" w:hAnsi="Times New Roman" w:eastAsia="宋体" w:cs="Times New Roman"/>
          <w:sz w:val="24"/>
        </w:rPr>
        <w:t>At the digital level, the system has built-in interview templates to guide managers to conduct interviews based on data such as target completion rates and records of significant events, highlighting employees' contributions to strategy; interview minutes are kept online to form a continuous performance file, facilitating employees' self-review and management follow-up.</w:t>
      </w:r>
    </w:p>
    <w:p w14:paraId="1F0A34B1">
      <w:pPr>
        <w:ind w:firstLine="397"/>
        <w:rPr>
          <w:rFonts w:ascii="Times New Roman" w:hAnsi="Times New Roman" w:eastAsia="宋体" w:cs="Times New Roman"/>
          <w:sz w:val="24"/>
        </w:rPr>
      </w:pPr>
      <w:r>
        <w:rPr>
          <w:rFonts w:ascii="Times New Roman" w:hAnsi="Times New Roman" w:eastAsia="宋体" w:cs="Times New Roman"/>
          <w:sz w:val="24"/>
        </w:rPr>
        <w:t>At the strategic value level, the mechanism transforms feedback from an "annual ritual" to a "standardized dialogue", which continuously strengthens employees' understanding and recognition of strategic goals, thus effectively enhancing the organization's strategic consensus.</w:t>
      </w:r>
    </w:p>
    <w:p w14:paraId="44C3CC4F">
      <w:pPr>
        <w:numPr>
          <w:ilvl w:val="0"/>
          <w:numId w:val="1"/>
        </w:numPr>
        <w:ind w:left="0" w:leftChars="0" w:firstLine="0" w:firstLineChars="0"/>
        <w:rPr>
          <w:rFonts w:ascii="Times New Roman" w:hAnsi="Times New Roman" w:eastAsia="宋体" w:cs="Times New Roman"/>
          <w:b/>
          <w:bCs/>
          <w:sz w:val="24"/>
        </w:rPr>
      </w:pPr>
      <w:r>
        <w:rPr>
          <w:rFonts w:ascii="Times New Roman" w:hAnsi="Times New Roman" w:eastAsia="宋体" w:cs="Times New Roman"/>
          <w:b/>
          <w:bCs/>
          <w:sz w:val="24"/>
        </w:rPr>
        <w:t>Results Application and Improvement: From "Compensation Distribution" to "Strategic Talent Decisions"</w:t>
      </w:r>
    </w:p>
    <w:p w14:paraId="2681CE30">
      <w:pPr>
        <w:ind w:firstLine="397"/>
        <w:rPr>
          <w:rFonts w:ascii="Times New Roman" w:hAnsi="Times New Roman" w:eastAsia="宋体" w:cs="Times New Roman"/>
          <w:sz w:val="24"/>
        </w:rPr>
      </w:pPr>
      <w:r>
        <w:rPr>
          <w:rFonts w:ascii="Times New Roman" w:hAnsi="Times New Roman" w:eastAsia="宋体" w:cs="Times New Roman"/>
          <w:sz w:val="24"/>
        </w:rPr>
        <w:t>In traditional management practice, assessment results are mainly used for salary and bonus distribution, without systematic analysis of strategic talent issues at the organizational level, resulting in a disconnect between performance data and key talent decision-making.</w:t>
      </w:r>
    </w:p>
    <w:p w14:paraId="5CCFD8F5">
      <w:pPr>
        <w:ind w:firstLine="397"/>
        <w:rPr>
          <w:rFonts w:ascii="Times New Roman" w:hAnsi="Times New Roman" w:eastAsia="宋体" w:cs="Times New Roman"/>
          <w:sz w:val="24"/>
        </w:rPr>
      </w:pPr>
      <w:r>
        <w:rPr>
          <w:rFonts w:ascii="Times New Roman" w:hAnsi="Times New Roman" w:eastAsia="宋体" w:cs="Times New Roman"/>
          <w:sz w:val="24"/>
        </w:rPr>
        <w:t>At the digital level, performance data is linked with the human resources information system, automatically associated with salary adjustments, bonus calculations, and talent inventories; the system supports performance analysis at the organizational level, such as departmental performance distribution and profiles of high performers.</w:t>
      </w:r>
    </w:p>
    <w:p w14:paraId="2CC320D2">
      <w:pPr>
        <w:ind w:firstLine="397"/>
        <w:rPr>
          <w:rFonts w:ascii="Times New Roman" w:hAnsi="Times New Roman" w:eastAsia="宋体" w:cs="Times New Roman"/>
          <w:sz w:val="24"/>
        </w:rPr>
      </w:pPr>
      <w:r>
        <w:rPr>
          <w:rFonts w:ascii="Times New Roman" w:hAnsi="Times New Roman" w:eastAsia="宋体" w:cs="Times New Roman"/>
          <w:sz w:val="24"/>
        </w:rPr>
        <w:t>At the strategic value level, the mechanism breaks down data silos, identifying talent to be cultivated, promoted, or assigned to key positions, all supported by data to ensure that talent allocation effectively serves the strategic needs of the organization.</w:t>
      </w:r>
    </w:p>
    <w:p w14:paraId="7949F484">
      <w:pPr>
        <w:rPr>
          <w:rFonts w:ascii="Times New Roman" w:hAnsi="Times New Roman" w:eastAsia="宋体" w:cs="Times New Roman"/>
          <w:b/>
          <w:bCs/>
          <w:sz w:val="24"/>
        </w:rPr>
      </w:pPr>
      <w:r>
        <w:rPr>
          <w:rFonts w:ascii="Times New Roman" w:hAnsi="Times New Roman" w:eastAsia="宋体" w:cs="Times New Roman"/>
          <w:b/>
          <w:bCs/>
          <w:sz w:val="24"/>
        </w:rPr>
        <w:t>Conclusion</w:t>
      </w:r>
    </w:p>
    <w:p w14:paraId="6753D3EC">
      <w:pPr>
        <w:ind w:firstLine="397"/>
        <w:rPr>
          <w:rFonts w:ascii="Times New Roman" w:hAnsi="Times New Roman" w:eastAsia="宋体" w:cs="Times New Roman"/>
          <w:sz w:val="24"/>
        </w:rPr>
      </w:pPr>
      <w:r>
        <w:rPr>
          <w:rFonts w:ascii="Times New Roman" w:hAnsi="Times New Roman" w:eastAsia="宋体" w:cs="Times New Roman"/>
          <w:sz w:val="24"/>
        </w:rPr>
        <w:t>Digital performance management contributes to organizational value not only through technological implementation, but also by embedding strategic alignment and talent decision-making into process management, thereby enabling a fundamental shift from focusing on process efficiency to achieving strategic effectiveness.</w:t>
      </w:r>
    </w:p>
    <w:p w14:paraId="6D79C52D">
      <w:pPr>
        <w:rPr>
          <w:rFonts w:ascii="Times New Roman" w:hAnsi="Times New Roman" w:cs="Times New Roman"/>
          <w:b/>
          <w:bCs/>
          <w:sz w:val="24"/>
        </w:rPr>
      </w:pPr>
      <w:r>
        <w:rPr>
          <w:rFonts w:ascii="Times New Roman" w:hAnsi="Times New Roman" w:cs="Times New Roman"/>
          <w:b/>
          <w:bCs/>
          <w:sz w:val="24"/>
        </w:rPr>
        <w:t>References</w:t>
      </w:r>
    </w:p>
    <w:p w14:paraId="596B4BBB">
      <w:pPr>
        <w:pStyle w:val="11"/>
        <w:widowControl/>
        <w:numPr>
          <w:ilvl w:val="0"/>
          <w:numId w:val="2"/>
        </w:numPr>
        <w:spacing w:after="0" w:line="240" w:lineRule="auto"/>
        <w:jc w:val="both"/>
        <w:rPr>
          <w:rFonts w:hint="eastAsia" w:ascii="Times New Roman" w:hAnsi="Times New Roman" w:eastAsia="Times New Roman" w:cs="Times New Roman"/>
          <w:color w:val="000000"/>
          <w:kern w:val="0"/>
          <w:sz w:val="24"/>
          <w:lang w:eastAsia="en-US"/>
          <w14:ligatures w14:val="none"/>
        </w:rPr>
      </w:pPr>
      <w:r>
        <w:rPr>
          <w:rFonts w:hint="eastAsia" w:ascii="Times New Roman" w:hAnsi="Times New Roman" w:eastAsia="Times New Roman" w:cs="Times New Roman"/>
          <w:color w:val="000000"/>
          <w:kern w:val="0"/>
          <w:sz w:val="24"/>
          <w:lang w:eastAsia="en-US"/>
          <w14:ligatures w14:val="none"/>
        </w:rPr>
        <w:t>Aguinis, H. Performance Management. 3rd ed. Boston: Pearson. 2013.</w:t>
      </w:r>
    </w:p>
    <w:p w14:paraId="6DAE8808">
      <w:pPr>
        <w:pStyle w:val="11"/>
        <w:widowControl/>
        <w:numPr>
          <w:ilvl w:val="0"/>
          <w:numId w:val="2"/>
        </w:numPr>
        <w:spacing w:after="0" w:line="240" w:lineRule="auto"/>
        <w:jc w:val="both"/>
        <w:rPr>
          <w:rFonts w:hint="eastAsia" w:ascii="Times New Roman" w:hAnsi="Times New Roman" w:eastAsia="Times New Roman" w:cs="Times New Roman"/>
          <w:color w:val="000000"/>
          <w:kern w:val="0"/>
          <w:sz w:val="24"/>
          <w:lang w:eastAsia="en-US"/>
          <w14:ligatures w14:val="none"/>
        </w:rPr>
      </w:pPr>
      <w:r>
        <w:rPr>
          <w:rFonts w:hint="eastAsia" w:ascii="Times New Roman" w:hAnsi="Times New Roman" w:eastAsia="Times New Roman" w:cs="Times New Roman"/>
          <w:color w:val="000000"/>
          <w:kern w:val="0"/>
          <w:sz w:val="24"/>
          <w:lang w:eastAsia="en-US"/>
          <w14:ligatures w14:val="none"/>
        </w:rPr>
        <w:t>Moynihan, D.P. Goal‑Based Learning and the Future of Performance Management // Public Administration Review. 2005, Vol. 65, No. 2, pp. 203–218.</w:t>
      </w:r>
    </w:p>
    <w:p w14:paraId="0F413937">
      <w:pPr>
        <w:pStyle w:val="11"/>
        <w:widowControl/>
        <w:numPr>
          <w:ilvl w:val="0"/>
          <w:numId w:val="2"/>
        </w:numPr>
        <w:spacing w:after="0" w:line="240" w:lineRule="auto"/>
        <w:jc w:val="both"/>
        <w:rPr>
          <w:rFonts w:hint="eastAsia" w:ascii="Times New Roman" w:hAnsi="Times New Roman" w:eastAsia="Times New Roman" w:cs="Times New Roman"/>
          <w:color w:val="000000"/>
          <w:kern w:val="0"/>
          <w:sz w:val="24"/>
          <w:lang w:eastAsia="en-US"/>
          <w14:ligatures w14:val="none"/>
        </w:rPr>
      </w:pPr>
      <w:r>
        <w:rPr>
          <w:rFonts w:hint="eastAsia" w:ascii="Times New Roman" w:hAnsi="Times New Roman" w:eastAsia="Times New Roman" w:cs="Times New Roman"/>
          <w:color w:val="000000"/>
          <w:kern w:val="0"/>
          <w:sz w:val="24"/>
          <w:lang w:eastAsia="en-US"/>
          <w14:ligatures w14:val="none"/>
        </w:rPr>
        <w:t>Niven, P.R., Lamorte, B. Objectives and Key Results: Driving Focus, Alignment, and Engagement with OKRs. Hoboken: John Wiley &amp; Sons. 2016.</w:t>
      </w:r>
    </w:p>
    <w:p w14:paraId="32EB504F">
      <w:pPr>
        <w:pStyle w:val="11"/>
        <w:widowControl/>
        <w:numPr>
          <w:ilvl w:val="0"/>
          <w:numId w:val="2"/>
        </w:numPr>
        <w:spacing w:after="0" w:line="240" w:lineRule="auto"/>
        <w:jc w:val="both"/>
        <w:rPr>
          <w:rFonts w:hint="eastAsia" w:ascii="Times New Roman" w:hAnsi="Times New Roman" w:eastAsia="Times New Roman" w:cs="Times New Roman"/>
          <w:color w:val="000000"/>
          <w:kern w:val="0"/>
          <w:sz w:val="24"/>
          <w:lang w:eastAsia="en-US"/>
          <w14:ligatures w14:val="none"/>
        </w:rPr>
      </w:pPr>
      <w:r>
        <w:rPr>
          <w:rFonts w:hint="eastAsia" w:ascii="Times New Roman" w:hAnsi="Times New Roman" w:eastAsia="Times New Roman" w:cs="Times New Roman"/>
          <w:color w:val="000000"/>
          <w:kern w:val="0"/>
          <w:sz w:val="24"/>
          <w:lang w:eastAsia="en-US"/>
          <w14:ligatures w14:val="none"/>
        </w:rPr>
        <w:t>Storey J., Ulrich D., Wright P.M. Strategic Human Resource Management: A Research Overview. 2nd ed. Abingdon: Routledge. 2023.</w:t>
      </w:r>
    </w:p>
    <w:p w14:paraId="20EC0110">
      <w:pPr>
        <w:pStyle w:val="11"/>
        <w:widowControl/>
        <w:numPr>
          <w:ilvl w:val="0"/>
          <w:numId w:val="2"/>
        </w:numPr>
        <w:spacing w:after="0" w:line="240" w:lineRule="auto"/>
        <w:jc w:val="both"/>
        <w:rPr>
          <w:rFonts w:ascii="Times New Roman" w:hAnsi="Times New Roman" w:eastAsia="Times New Roman" w:cs="Times New Roman"/>
          <w:color w:val="000000"/>
          <w:kern w:val="0"/>
          <w:sz w:val="24"/>
          <w:lang w:eastAsia="en-US"/>
          <w14:ligatures w14:val="none"/>
        </w:rPr>
      </w:pPr>
      <w:r>
        <w:rPr>
          <w:rFonts w:hint="eastAsia" w:ascii="Times New Roman" w:hAnsi="Times New Roman" w:eastAsia="Times New Roman" w:cs="Times New Roman"/>
          <w:color w:val="000000"/>
          <w:kern w:val="0"/>
          <w:sz w:val="24"/>
          <w:lang w:eastAsia="en-US"/>
          <w14:ligatures w14:val="none"/>
        </w:rPr>
        <w:t>Yustina, A.I., Gudono, G. Halo Effect in Subjective Performance Evaluation Bias // Journal of Economics, Business, and Accountancy Ventura. 2016, Vol. 19, Is. 3, pp. 393–404.</w:t>
      </w:r>
      <w:bookmarkStart w:id="0" w:name="_GoBack"/>
      <w:bookmarkEnd w:id="0"/>
    </w:p>
    <w:sectPr>
      <w:pgSz w:w="11906" w:h="16838"/>
      <w:pgMar w:top="1134"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06EA1B6-BA07-4900-B9F6-4C2A5C6001D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69D32"/>
    <w:multiLevelType w:val="singleLevel"/>
    <w:tmpl w:val="92B69D32"/>
    <w:lvl w:ilvl="0" w:tentative="0">
      <w:start w:val="1"/>
      <w:numFmt w:val="decimal"/>
      <w:suff w:val="space"/>
      <w:lvlText w:val="%1."/>
      <w:lvlJc w:val="left"/>
      <w:rPr>
        <w:rFonts w:hint="default"/>
        <w:b/>
        <w:bCs/>
      </w:rPr>
    </w:lvl>
  </w:abstractNum>
  <w:abstractNum w:abstractNumId="1">
    <w:nsid w:val="16305581"/>
    <w:multiLevelType w:val="multilevel"/>
    <w:tmpl w:val="16305581"/>
    <w:lvl w:ilvl="0" w:tentative="0">
      <w:start w:val="1"/>
      <w:numFmt w:val="decimal"/>
      <w:lvlText w:val="%1."/>
      <w:lvlJc w:val="left"/>
      <w:pPr>
        <w:ind w:left="720" w:hanging="36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17"/>
    <w:rsid w:val="000E6680"/>
    <w:rsid w:val="00175C7E"/>
    <w:rsid w:val="001A4733"/>
    <w:rsid w:val="00246202"/>
    <w:rsid w:val="002C5A19"/>
    <w:rsid w:val="003F352B"/>
    <w:rsid w:val="005913A0"/>
    <w:rsid w:val="00676C08"/>
    <w:rsid w:val="00796D81"/>
    <w:rsid w:val="00A21840"/>
    <w:rsid w:val="00B24E50"/>
    <w:rsid w:val="00BA60E6"/>
    <w:rsid w:val="00C5580E"/>
    <w:rsid w:val="00D94DFC"/>
    <w:rsid w:val="00E50027"/>
    <w:rsid w:val="00EF3417"/>
    <w:rsid w:val="01F10A74"/>
    <w:rsid w:val="059C5BCD"/>
    <w:rsid w:val="06FA0DFD"/>
    <w:rsid w:val="09586CBC"/>
    <w:rsid w:val="09B259BF"/>
    <w:rsid w:val="0B380896"/>
    <w:rsid w:val="1A1954B1"/>
    <w:rsid w:val="2C0D3A8D"/>
    <w:rsid w:val="3C1001A0"/>
    <w:rsid w:val="4C463F2F"/>
    <w:rsid w:val="50852AB2"/>
    <w:rsid w:val="66974954"/>
    <w:rsid w:val="6A582B8E"/>
    <w:rsid w:val="6EAB7730"/>
    <w:rsid w:val="77E11B6C"/>
    <w:rsid w:val="7A326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8"/>
    <w:unhideWhenUsed/>
    <w:qFormat/>
    <w:uiPriority w:val="99"/>
    <w:pPr>
      <w:spacing w:after="160" w:line="278" w:lineRule="auto"/>
      <w:jc w:val="left"/>
    </w:pPr>
    <w:rPr>
      <w:sz w:val="22"/>
      <w14:ligatures w14:val="standardContextual"/>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character" w:styleId="7">
    <w:name w:val="annotation reference"/>
    <w:basedOn w:val="6"/>
    <w:unhideWhenUsed/>
    <w:qFormat/>
    <w:uiPriority w:val="99"/>
    <w:rPr>
      <w:sz w:val="21"/>
      <w:szCs w:val="21"/>
    </w:rPr>
  </w:style>
  <w:style w:type="character" w:customStyle="1" w:styleId="8">
    <w:name w:val="批注文字 字符"/>
    <w:basedOn w:val="6"/>
    <w:link w:val="2"/>
    <w:qFormat/>
    <w:uiPriority w:val="99"/>
    <w:rPr>
      <w:rFonts w:asciiTheme="minorHAnsi" w:hAnsiTheme="minorHAnsi" w:eastAsiaTheme="minorEastAsia" w:cstheme="minorBidi"/>
      <w:kern w:val="2"/>
      <w:sz w:val="22"/>
      <w:szCs w:val="24"/>
      <w14:ligatures w14:val="standardContextual"/>
    </w:rPr>
  </w:style>
  <w:style w:type="character" w:customStyle="1" w:styleId="9">
    <w:name w:val="页眉 字符"/>
    <w:basedOn w:val="6"/>
    <w:link w:val="4"/>
    <w:qFormat/>
    <w:uiPriority w:val="0"/>
    <w:rPr>
      <w:rFonts w:asciiTheme="minorHAnsi" w:hAnsiTheme="minorHAnsi" w:eastAsiaTheme="minorEastAsia" w:cstheme="minorBidi"/>
      <w:kern w:val="2"/>
      <w:sz w:val="18"/>
      <w:szCs w:val="18"/>
    </w:rPr>
  </w:style>
  <w:style w:type="character" w:customStyle="1" w:styleId="10">
    <w:name w:val="页脚 字符"/>
    <w:basedOn w:val="6"/>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34"/>
    <w:pPr>
      <w:spacing w:after="160" w:line="278" w:lineRule="auto"/>
      <w:ind w:left="720"/>
      <w:contextualSpacing/>
      <w:jc w:val="left"/>
    </w:pPr>
    <w:rPr>
      <w:sz w:val="22"/>
      <w14:ligatures w14:val="standardContextual"/>
    </w:rPr>
  </w:style>
  <w:style w:type="paragraph" w:customStyle="1" w:styleId="12">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868</Words>
  <Characters>5796</Characters>
  <Lines>48</Lines>
  <Paragraphs>13</Paragraphs>
  <TotalTime>64</TotalTime>
  <ScaleCrop>false</ScaleCrop>
  <LinksUpToDate>false</LinksUpToDate>
  <CharactersWithSpaces>6632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Hengsheng</dc:creator>
  <cp:lastModifiedBy>微信用户</cp:lastModifiedBy>
  <cp:revision>9</cp:revision>
  <dcterms:created xsi:type="dcterms:W3CDTF">2026-04-06T06:52:00Z</dcterms:created>
  <dcterms:modified xsi:type="dcterms:W3CDTF">2026-04-06T13:39:50Z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eyJoZGlkIjoiOWExMDY2N2I1ODg1NDgzYzU5ZDZjZTY0YTNkNjE2MTYiLCJ1c2VySWQiOiIxMjU0MzE0NTAzIn0=</vt:lpwstr>
  </property>
  <property fmtid="{D5CDD505-2E9C-101B-9397-08002B2CF9AE}" pid="4" name="ICV">
    <vt:lpwstr>80587D6BBD4043B7BBFB65DECA3BFD7E_12</vt:lpwstr>
  </property>
</Properties>
</file>