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7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Роль китайских головоломок в развитии математического мышления</w:t>
      </w:r>
    </w:p>
    <w:p w14:paraId="78C8893E">
      <w:pPr>
        <w:spacing w:after="0" w:line="240" w:lineRule="auto"/>
        <w:jc w:val="center"/>
        <w:rPr>
          <w:rFonts w:ascii="Times New Roman" w:hAnsi="Times New Roman" w:eastAsia="宋体" w:cs="Times New Roman"/>
          <w:b/>
          <w:bCs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b/>
          <w:bCs/>
          <w:i/>
          <w:iCs/>
          <w:kern w:val="2"/>
          <w:sz w:val="24"/>
          <w:lang w:eastAsia="zh-CN"/>
        </w:rPr>
        <w:t>Сюй Юэ</w:t>
      </w:r>
    </w:p>
    <w:p w14:paraId="3729B541"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Студент (Бакалавр)</w:t>
      </w:r>
    </w:p>
    <w:p w14:paraId="731A25A6"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Совместный университет МГУ-ППИ в Шэньчжэне,</w:t>
      </w:r>
    </w:p>
    <w:p w14:paraId="47FE18A9"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Факультет вычислительной математики и кибернетики, 1 курс,</w:t>
      </w:r>
    </w:p>
    <w:p w14:paraId="47CA6F76"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Шэньчжэнь, Китай</w:t>
      </w:r>
    </w:p>
    <w:p w14:paraId="69E98613"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val="en-US" w:eastAsia="zh-CN"/>
        </w:rPr>
        <w:t>E</w:t>
      </w: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-</w:t>
      </w:r>
      <w:r>
        <w:rPr>
          <w:rFonts w:ascii="Times New Roman" w:hAnsi="Times New Roman" w:eastAsia="宋体" w:cs="Times New Roman"/>
          <w:i/>
          <w:iCs/>
          <w:kern w:val="2"/>
          <w:sz w:val="24"/>
          <w:lang w:val="en-US" w:eastAsia="zh-CN"/>
        </w:rPr>
        <w:t>mail</w:t>
      </w: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:</w:t>
      </w:r>
      <w:r>
        <w:rPr>
          <w:rFonts w:ascii="Times New Roman" w:hAnsi="Times New Roman" w:eastAsia="宋体" w:cs="Times New Roman"/>
          <w:kern w:val="2"/>
          <w:sz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/>
        </w:rPr>
        <w:t>13216113239@163.com</w:t>
      </w:r>
    </w:p>
    <w:p w14:paraId="783E1A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0A23B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китайские математические головоломки представляют собой уникальное явление в мировой культуре. На протяжении тысячелетий китайские мыслители и ремесленники создавали игры, которые не только развлекали, но и обучали, развивали пространственное мышление, логику и математические способности. Три классические китайские математические головоломки — танграм, китайские кольца и замок Лу Бана называют «тремя великими» китайскими головоломками [5].</w:t>
      </w:r>
    </w:p>
    <w:p w14:paraId="0E449AE3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«Танграм» — это головоломка, состоящая из семи плоских фигур, которые вместе образуют большой квадрат (2 больших равнобедренных прямоугольных треугольника, 1 средний равнобедренный прямоугольный треугольник, 2 малых равнобедренных прямоугольных треугольника, 1 квадрат, 1 параллелограмм).  «Танграм» является прекрасной иллюстрацией геометрических принципов и происходит из теории о катетах и гипотенузе, разработанной математиками эпохи Хань. С помощью двух одинаковых наборов танграма можно наглядно доказать теорему Пифагора, что демонстрирует глубокую связь между игрой и фундаментальной математикой [1].</w:t>
      </w:r>
    </w:p>
    <w:p w14:paraId="5EEB150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«Китайские кольца»— одна из древнейших китайских головоломок, история которой восходит к периоду V–III века до нашей эры. Китайские кольца являются классическим примером применения топологии — раздела математики, изучающего свойства фигур, сохраняющиеся при непрерывных деформациях. В XIX веке математик Гросс доказал, что решение китайских колец описывается двоичной системой счисления, что демонстрирует связь головоломки с теорией чисел и комбинаторикой [3].</w:t>
      </w:r>
    </w:p>
    <w:p w14:paraId="15A4FE1C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Головоломка «Замок Лу Бана» названа в честь легендарного древнекитайского инженера и изобретателя Лу Баня (ок. 507–444 до н.э.). «Замок Лу Бана» представляет собой задачу из области комбинаторной геометрии. Каждый брусок имеет уникальную конфигурацию вырезов, и только определённая комбинация расположений позволяет создать устойчивую структуру. Современные компьютерные исследования показали, что существует 119 963 различных варианта соединения шести брусков. Это число демонстрирует богатство комбинаторных возможностей [4], заложенных в этой древней головоломке.</w:t>
      </w:r>
    </w:p>
    <w:p w14:paraId="66923908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китайские математические головоломки представляют собой уникальное явление в истории науки и культуры. Они были созданы много столетий назад, но продолжают жить и сегодня. Изучение этих головоломок показывает, что китайская математическая традиция не ограничивалась теоретическими изысканиями, но находила воплощение в практических и игровых формах [2].</w:t>
      </w:r>
    </w:p>
    <w:p w14:paraId="0D9DFCB6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EA6FEAB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9FEEEAF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24CE875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Клименко Е. В., Муратова А. Ш. Палиндромы, оригами и танаграмы в формировании пространственного мышления школьников при обучении математике // Математическое и информационное моделирование: материалы Всероссийской конференции молодых ученых. — Тюмень: Тюменский государственный университет, 2020. — Вып. 18. — С. 597–601.</w:t>
      </w:r>
    </w:p>
    <w:p w14:paraId="62AE71FC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S., Gadanidis G. Games and Puzzles in Mathematics / S. He, G. Gadanidis // The Future of Education, 15th Edition 2025 : Conference Proceedings. — Florence : Pixel International Conferences, 2025.</w:t>
      </w:r>
    </w:p>
    <w:p w14:paraId="6F16EE0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Liu Facheng. Application of Traditional Folk Toys in High School Mathematics Teaching / Liu Facheng // Toy World. — 2024. — No. 5.</w:t>
      </w:r>
    </w:p>
    <w:p w14:paraId="2FA13883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 Zunyou. Application of Mathematical Principles in Educational Toys : Lecture / Li Zunyou. — 2021. — (lecture materials).</w:t>
      </w:r>
    </w:p>
    <w:p w14:paraId="4C036ACD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Zhu Mingshu. Ancient Chinese Mathematics and Intellectual Games = Chinese Ancient Mathematics and Intellectual Games / Zhu Mingshu. — Dalian : Dalian University of Technology Press, 2024. — 146 p.</w:t>
      </w:r>
    </w:p>
    <w:p w14:paraId="72B00119">
      <w:pPr>
        <w:spacing w:after="0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F1513"/>
    <w:multiLevelType w:val="multilevel"/>
    <w:tmpl w:val="5A2F1513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03"/>
    <w:rsid w:val="000A3E90"/>
    <w:rsid w:val="003F2503"/>
    <w:rsid w:val="00513D1E"/>
    <w:rsid w:val="0051662E"/>
    <w:rsid w:val="00790FB4"/>
    <w:rsid w:val="009D420A"/>
    <w:rsid w:val="00A51DEA"/>
    <w:rsid w:val="00F21215"/>
    <w:rsid w:val="00FD37BD"/>
    <w:rsid w:val="751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3214</Characters>
  <Lines>26</Lines>
  <Paragraphs>7</Paragraphs>
  <TotalTime>115</TotalTime>
  <ScaleCrop>false</ScaleCrop>
  <LinksUpToDate>false</LinksUpToDate>
  <CharactersWithSpaces>3665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2026-03-29T08:29:00Z</dcterms:created>
  <dc:creator>Infernal's child</dc:creator>
  <cp:lastModifiedBy>提纳里</cp:lastModifiedBy>
  <dcterms:modified xsi:type="dcterms:W3CDTF">2026-03-31T12:25:41Z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AFC41C3D7E7B4E5B961ABF01A612DE71_13</vt:lpwstr>
  </property>
</Properties>
</file>