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0B3F" w14:textId="77777777" w:rsidR="00D969E4" w:rsidRDefault="00D96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b/>
          <w:color w:val="000000"/>
          <w:lang w:eastAsia="zh-CN"/>
        </w:rPr>
      </w:pPr>
      <w:r w:rsidRPr="00D969E4">
        <w:rPr>
          <w:b/>
          <w:color w:val="000000"/>
        </w:rPr>
        <w:t>Финансирование под государственные закупки как инструмент поддержки малого бизнеса в Китае</w:t>
      </w:r>
    </w:p>
    <w:p w14:paraId="1375CFB5" w14:textId="2B8A390B" w:rsidR="00130241" w:rsidRDefault="00D96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969E4">
        <w:rPr>
          <w:b/>
          <w:i/>
          <w:iCs/>
          <w:color w:val="000000"/>
        </w:rPr>
        <w:t>Хуан Цзяюй</w:t>
      </w:r>
    </w:p>
    <w:p w14:paraId="491EC54D" w14:textId="77777777" w:rsidR="00D969E4" w:rsidRDefault="00D969E4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i/>
          <w:color w:val="000000"/>
          <w:lang w:eastAsia="zh-CN"/>
        </w:rPr>
      </w:pPr>
      <w:r w:rsidRPr="00D969E4">
        <w:rPr>
          <w:rFonts w:hint="eastAsia"/>
          <w:i/>
          <w:color w:val="000000"/>
        </w:rPr>
        <w:t>Студентка(бакалавр)</w:t>
      </w:r>
    </w:p>
    <w:p w14:paraId="643430CD" w14:textId="77777777" w:rsidR="00D969E4" w:rsidRDefault="00D969E4" w:rsidP="00E8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i/>
          <w:color w:val="000000"/>
          <w:lang w:eastAsia="zh-CN"/>
        </w:rPr>
      </w:pPr>
      <w:r w:rsidRPr="00D969E4">
        <w:rPr>
          <w:rFonts w:hint="eastAsia"/>
          <w:i/>
          <w:color w:val="000000"/>
        </w:rPr>
        <w:t>МГУ-ППИ в г.Шэньчжэне, КНР</w:t>
      </w:r>
    </w:p>
    <w:p w14:paraId="106DE1FA" w14:textId="41D7B484" w:rsidR="00E8477E" w:rsidRDefault="00EB1F49" w:rsidP="00E8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i/>
          <w:iCs/>
          <w:lang w:eastAsia="zh-CN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8" w:history="1">
        <w:r w:rsidR="007960F1" w:rsidRPr="00AD41F0">
          <w:rPr>
            <w:rStyle w:val="a9"/>
            <w:i/>
            <w:iCs/>
          </w:rPr>
          <w:t>651359048</w:t>
        </w:r>
        <w:r w:rsidR="007960F1" w:rsidRPr="00AD41F0">
          <w:rPr>
            <w:rStyle w:val="a9"/>
            <w:rFonts w:hint="eastAsia"/>
            <w:i/>
            <w:iCs/>
          </w:rPr>
          <w:t>@</w:t>
        </w:r>
        <w:r w:rsidR="007960F1" w:rsidRPr="00AD41F0">
          <w:rPr>
            <w:rStyle w:val="a9"/>
            <w:i/>
            <w:iCs/>
          </w:rPr>
          <w:t>qq.com</w:t>
        </w:r>
      </w:hyperlink>
    </w:p>
    <w:p w14:paraId="3C8E8B6D" w14:textId="77777777" w:rsidR="007960F1" w:rsidRPr="007960F1" w:rsidRDefault="007960F1" w:rsidP="00E84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lang w:eastAsia="zh-CN"/>
        </w:rPr>
      </w:pPr>
    </w:p>
    <w:p w14:paraId="69B41170" w14:textId="09008B4F" w:rsidR="00116478" w:rsidRDefault="00DD0AB7" w:rsidP="00DD0AB7">
      <w:pPr>
        <w:ind w:firstLineChars="200" w:firstLine="480"/>
        <w:rPr>
          <w:rFonts w:eastAsiaTheme="minorEastAsia"/>
          <w:lang w:eastAsia="zh-CN"/>
        </w:rPr>
      </w:pPr>
      <w:r w:rsidRPr="00DD0AB7">
        <w:t>В настоящее время в КНР малый бизнес испытывает трудности в доступе к кредитованию из-за отсутствия залогового обеспечения. Бюджетные возможности государства для прямой поддержки предприятий ограничены. В Китае найден механизм, позволяющий решить эту проблему. Согласно политике Китая, в проектах государственных закупок на сумму более 4 миллионов юаней, подходящих для малого бизнеса, доля закупок, предназначенных для малого бизнеса, составляет более 40% [1].</w:t>
      </w:r>
    </w:p>
    <w:p w14:paraId="3CA6256E" w14:textId="4ECF6824" w:rsidR="00DD0AB7" w:rsidRDefault="00DD0AB7" w:rsidP="00DD0AB7">
      <w:pPr>
        <w:ind w:firstLineChars="200" w:firstLine="480"/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>"Финансирование под госзакупки" представляет собой инновационный инструмент, при котором предприятие использует право на будущие платежи по государственному контракту в качестве залога для получения банковского кредита. Механизм включает шесть последовательных этапов: заключение государственного контракта, обращение предприятия в банк, открытие трехстороннего счета, выдача банковского кредита, оплата государством контракта, списание банком суммы кредита. Формируется замкнутый цикл движения средств, что исключает риск их нецелевого использования. </w:t>
      </w:r>
    </w:p>
    <w:p w14:paraId="42DC6829" w14:textId="0C1CB74D" w:rsidR="00DD0AB7" w:rsidRDefault="00DD0AB7" w:rsidP="00DD0AB7">
      <w:pPr>
        <w:ind w:firstLineChars="200" w:firstLine="480"/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>Данный механизм имеет множественные преимущества: для предприятий – возможность получения финансирования там, где традиционные пути закрыты; для банков – снижение кредитных рисков и упрощение процедуры оценки заемщика; для государства – достижение социально-экономических целей без прямых бюджетных затрат; для экономики в целом – стимулирование деловой активности и создание новых рабочих мест. Механизм создает ситуацию взаимного выигрыша. </w:t>
      </w:r>
    </w:p>
    <w:p w14:paraId="7FD2153F" w14:textId="38482CBD" w:rsidR="00DD0AB7" w:rsidRDefault="00DD0AB7" w:rsidP="00DD0AB7">
      <w:pPr>
        <w:ind w:firstLineChars="200" w:firstLine="480"/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 xml:space="preserve">Для проверки эффективности политики был использован метод тройной разности [2] для сравнения по трём измерениям. Данные из Шэньчжэня [3] </w:t>
      </w:r>
      <w:r w:rsidR="0055433F" w:rsidRPr="00DD0AB7">
        <w:rPr>
          <w:rFonts w:eastAsiaTheme="minorEastAsia"/>
          <w:color w:val="000000"/>
          <w:lang w:eastAsia="zh-CN"/>
        </w:rPr>
        <w:t>[</w:t>
      </w:r>
      <w:r w:rsidR="0055433F">
        <w:rPr>
          <w:rFonts w:eastAsiaTheme="minorEastAsia" w:hint="eastAsia"/>
          <w:color w:val="000000"/>
          <w:lang w:eastAsia="zh-CN"/>
        </w:rPr>
        <w:t>4</w:t>
      </w:r>
      <w:r w:rsidR="0055433F" w:rsidRPr="00DD0AB7">
        <w:rPr>
          <w:rFonts w:eastAsiaTheme="minorEastAsia"/>
          <w:color w:val="000000"/>
          <w:lang w:eastAsia="zh-CN"/>
        </w:rPr>
        <w:t>]</w:t>
      </w:r>
      <w:r w:rsidRPr="00DD0AB7">
        <w:rPr>
          <w:rFonts w:eastAsiaTheme="minorEastAsia"/>
          <w:color w:val="000000"/>
          <w:lang w:eastAsia="zh-CN"/>
        </w:rPr>
        <w:t>показывают, что политика "Финансирования под госзакупки" увеличила уровень кредитования предприятий с госконтрактами в Шэньчжэне на 0.7 процентных пункта. Эмпирическое исследование подтвердило эффективность этого механизма. </w:t>
      </w:r>
    </w:p>
    <w:p w14:paraId="2B0B6BF8" w14:textId="4CE47FA6" w:rsidR="00DD0AB7" w:rsidRDefault="00DD0AB7" w:rsidP="00DD0AB7">
      <w:pPr>
        <w:ind w:firstLineChars="200" w:firstLine="480"/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>Однако данный механизм сталкивается с определенными проблемами. Первая проблема – локализация государственных закупок, что создает препятствия для формирования единого рыночного пространства. Вторая проблема – зависимость эффективности механизма от качества государственного управления. Если государство имеет высокий уровень долга, доверие к его гарантиям неизбежно снижается. </w:t>
      </w:r>
    </w:p>
    <w:p w14:paraId="2E13B68E" w14:textId="740FD622" w:rsidR="00DD0AB7" w:rsidRDefault="00DD0AB7" w:rsidP="00DD0AB7">
      <w:pPr>
        <w:ind w:firstLineChars="200" w:firstLine="480"/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>На наш взгляд, меры следует принимать на нескольких уровнях. На уровне государства целесообразно создать единую информационную платформу для всех государственных контрактов и установить определенные квоты для иногородних поставщиков, чтобы стимулировать межрегиональную конкуренцию. На уровне крупного бизнеса важно интегрировать малые предприятия в производственные цепочки, создавая для них дополнительные возможности получения контрактов. На уровне частных инвесторов перспективным представляется формирование специализированных фондов, которые могли бы выкупать такие кредиты у банков, высвобождая их ресурсы для нового финансирования.</w:t>
      </w:r>
    </w:p>
    <w:p w14:paraId="1257E400" w14:textId="1CF62D5A" w:rsidR="00DD0AB7" w:rsidRDefault="00DD0AB7" w:rsidP="00DD0AB7">
      <w:pPr>
        <w:ind w:firstLineChars="200" w:firstLine="480"/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>Подводя итог, можно сформулировать следующие выводы: </w:t>
      </w:r>
    </w:p>
    <w:p w14:paraId="03ACF6CA" w14:textId="526C2BB8" w:rsidR="00DD0AB7" w:rsidRPr="00DD0AB7" w:rsidRDefault="00DD0AB7" w:rsidP="00DD0AB7">
      <w:pPr>
        <w:pStyle w:val="a5"/>
        <w:numPr>
          <w:ilvl w:val="0"/>
          <w:numId w:val="5"/>
        </w:numPr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>"Финансирование под госзакупки" представляет собой инновационный инструмент поддержки малого бизнеса, основанный на использовании государственного контракта в качестве залога.</w:t>
      </w:r>
    </w:p>
    <w:p w14:paraId="004E2EF5" w14:textId="507D60F7" w:rsidR="00DD0AB7" w:rsidRDefault="00DD0AB7" w:rsidP="00DD0AB7">
      <w:pPr>
        <w:pStyle w:val="a5"/>
        <w:numPr>
          <w:ilvl w:val="0"/>
          <w:numId w:val="5"/>
        </w:numPr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>Эмпирическое исследование на данных Шэньчжэня подтвердило эффективность этого механизма. После внедрения политики уровень кредитования предприятий с госконтрактами увеличился на 0,7 процентных пункта.</w:t>
      </w:r>
    </w:p>
    <w:p w14:paraId="6433BE0E" w14:textId="1A4D2C94" w:rsidR="00DD0AB7" w:rsidRDefault="00DD0AB7" w:rsidP="00DD0AB7">
      <w:pPr>
        <w:pStyle w:val="a5"/>
        <w:numPr>
          <w:ilvl w:val="0"/>
          <w:numId w:val="5"/>
        </w:numPr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lastRenderedPageBreak/>
        <w:t>Механизм позволяет достичь баланса интересов всех участников – государства, предприятия и банка. </w:t>
      </w:r>
    </w:p>
    <w:p w14:paraId="1DEA2857" w14:textId="26A9FD9C" w:rsidR="00DD0AB7" w:rsidRDefault="00DD0AB7" w:rsidP="00DD0AB7">
      <w:pPr>
        <w:pStyle w:val="a5"/>
        <w:numPr>
          <w:ilvl w:val="0"/>
          <w:numId w:val="5"/>
        </w:numPr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>Основными проблемами реализации являются локализация закупок и зависимость от качества государственного управления.</w:t>
      </w:r>
    </w:p>
    <w:p w14:paraId="4D14971A" w14:textId="669FEEE4" w:rsidR="00DD0AB7" w:rsidRPr="00DF2322" w:rsidRDefault="00DD0AB7" w:rsidP="00DD0AB7">
      <w:pPr>
        <w:pStyle w:val="a5"/>
        <w:numPr>
          <w:ilvl w:val="0"/>
          <w:numId w:val="5"/>
        </w:numPr>
        <w:rPr>
          <w:rFonts w:eastAsiaTheme="minorEastAsia"/>
          <w:color w:val="000000"/>
          <w:lang w:eastAsia="zh-CN"/>
        </w:rPr>
      </w:pPr>
      <w:r w:rsidRPr="00DD0AB7">
        <w:rPr>
          <w:rFonts w:eastAsiaTheme="minorEastAsia"/>
          <w:color w:val="000000"/>
          <w:lang w:eastAsia="zh-CN"/>
        </w:rPr>
        <w:t>Для повышения эффективности необходимы создание единой информационной платформы, интеграция малого бизнеса в производственные цепочки и развитие механизмов рефинансирования.</w:t>
      </w:r>
    </w:p>
    <w:p w14:paraId="57D0F30C" w14:textId="77777777" w:rsidR="00DD0AB7" w:rsidRDefault="00DD0AB7" w:rsidP="00DD0AB7">
      <w:pPr>
        <w:rPr>
          <w:rFonts w:eastAsiaTheme="minorEastAsia"/>
          <w:color w:val="000000"/>
          <w:lang w:eastAsia="zh-CN"/>
        </w:rPr>
      </w:pPr>
    </w:p>
    <w:p w14:paraId="0BD9DA39" w14:textId="77777777" w:rsidR="007960F1" w:rsidRDefault="007960F1" w:rsidP="007960F1">
      <w:pPr>
        <w:pStyle w:val="p1"/>
        <w:widowControl/>
        <w:jc w:val="center"/>
        <w:rPr>
          <w:rFonts w:ascii="Times New Roman" w:eastAsia="宋体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Литература</w:t>
      </w:r>
      <w:r>
        <w:rPr>
          <w:rFonts w:ascii="Times New Roman" w:eastAsia="宋体" w:hAnsi="Times New Roman" w:hint="eastAsia"/>
          <w:b/>
          <w:sz w:val="24"/>
          <w:szCs w:val="24"/>
          <w:lang w:val="ru-RU"/>
        </w:rPr>
        <w:t>:</w:t>
      </w:r>
    </w:p>
    <w:p w14:paraId="230CE656" w14:textId="5107D8D4" w:rsidR="00DD0AB7" w:rsidRDefault="000C520B" w:rsidP="000C520B">
      <w:pPr>
        <w:pStyle w:val="a5"/>
        <w:numPr>
          <w:ilvl w:val="0"/>
          <w:numId w:val="6"/>
        </w:numPr>
        <w:rPr>
          <w:rFonts w:eastAsiaTheme="minorEastAsia"/>
          <w:color w:val="000000"/>
          <w:lang w:eastAsia="zh-CN"/>
        </w:rPr>
      </w:pPr>
      <w:r w:rsidRPr="000C520B">
        <w:rPr>
          <w:rFonts w:eastAsiaTheme="minorEastAsia"/>
          <w:color w:val="000000"/>
          <w:lang w:eastAsia="zh-CN"/>
        </w:rPr>
        <w:t>Государственный совет КНР. Уведомление о публикации «Плана действий по упорядочению рыночного порядка, созданию нормативной базы и содействию развитию промышленности в сфере государственных закупок на 2024-2026 годы» : Госсовет № 33 </w:t>
      </w:r>
      <m:oMath>
        <m:r>
          <w:rPr>
            <w:rFonts w:ascii="Cambria Math" w:eastAsiaTheme="minorEastAsia" w:hAnsi="Cambria Math"/>
            <w:color w:val="000000"/>
            <w:lang w:eastAsia="zh-CN"/>
          </w:rPr>
          <m:t>Z</m:t>
        </m:r>
      </m:oMath>
      <w:r w:rsidRPr="000C520B">
        <w:rPr>
          <w:rFonts w:eastAsiaTheme="minorEastAsia"/>
          <w:color w:val="000000"/>
          <w:lang w:eastAsia="zh-CN"/>
        </w:rPr>
        <w:t>. Пекин, 2024. URL: </w:t>
      </w:r>
      <w:hyperlink r:id="rId9" w:tgtFrame="_blank" w:history="1">
        <w:r w:rsidRPr="000C520B">
          <w:rPr>
            <w:rStyle w:val="a9"/>
            <w:rFonts w:eastAsiaTheme="minorEastAsia"/>
            <w:lang w:eastAsia="zh-CN"/>
          </w:rPr>
          <w:t>https://www.gov.cn/zhengce/zhengceku/202407/content_6961216.htm</w:t>
        </w:r>
      </w:hyperlink>
      <w:r w:rsidRPr="000C520B">
        <w:rPr>
          <w:rFonts w:eastAsiaTheme="minorEastAsia"/>
          <w:color w:val="000000"/>
          <w:lang w:eastAsia="zh-CN"/>
        </w:rPr>
        <w:t> (дата обращения: 0</w:t>
      </w:r>
      <w:r>
        <w:rPr>
          <w:rFonts w:eastAsiaTheme="minorEastAsia" w:hint="eastAsia"/>
          <w:color w:val="000000"/>
          <w:lang w:eastAsia="zh-CN"/>
        </w:rPr>
        <w:t>5</w:t>
      </w:r>
      <w:r w:rsidRPr="000C520B">
        <w:rPr>
          <w:rFonts w:eastAsiaTheme="minorEastAsia"/>
          <w:color w:val="000000"/>
          <w:lang w:eastAsia="zh-CN"/>
        </w:rPr>
        <w:t>.03.2026).</w:t>
      </w:r>
    </w:p>
    <w:p w14:paraId="20DCAB93" w14:textId="670EC845" w:rsidR="000C520B" w:rsidRDefault="000C520B" w:rsidP="000C520B">
      <w:pPr>
        <w:pStyle w:val="a5"/>
        <w:numPr>
          <w:ilvl w:val="0"/>
          <w:numId w:val="6"/>
        </w:numPr>
        <w:rPr>
          <w:rFonts w:eastAsiaTheme="minorEastAsia"/>
          <w:color w:val="000000"/>
          <w:lang w:eastAsia="zh-CN"/>
        </w:rPr>
      </w:pPr>
      <w:r w:rsidRPr="000C520B">
        <w:rPr>
          <w:rFonts w:eastAsiaTheme="minorEastAsia"/>
          <w:color w:val="000000"/>
          <w:lang w:eastAsia="zh-CN"/>
        </w:rPr>
        <w:t>Юй М., Чжан М., Ань Ц. Финансово-бюджетная синергия и стимулирование реального сектора экономики: перспектива создания кредита </w:t>
      </w:r>
      <m:oMath>
        <m:r>
          <w:rPr>
            <w:rFonts w:ascii="Cambria Math" w:eastAsiaTheme="minorEastAsia" w:hAnsi="Cambria Math"/>
            <w:color w:val="000000"/>
            <w:lang w:eastAsia="zh-CN"/>
          </w:rPr>
          <m:t>J</m:t>
        </m:r>
      </m:oMath>
      <w:r w:rsidRPr="000C520B">
        <w:rPr>
          <w:rFonts w:eastAsiaTheme="minorEastAsia"/>
          <w:color w:val="000000"/>
          <w:lang w:eastAsia="zh-CN"/>
        </w:rPr>
        <w:t> // Вопросы экономики. 2025. № 3. С. 1-16. URL: </w:t>
      </w:r>
      <w:hyperlink r:id="rId10" w:history="1">
        <w:r w:rsidR="002224C1" w:rsidRPr="00C51E07">
          <w:rPr>
            <w:rStyle w:val="a9"/>
            <w:rFonts w:ascii="宋体" w:eastAsia="宋体" w:hAnsi="宋体" w:cs="宋体" w:hint="eastAsia"/>
            <w:sz w:val="28"/>
            <w:szCs w:val="28"/>
          </w:rPr>
          <w:t>财政金融协同的实体经济促进效应：基于信用创造的视角</w:t>
        </w:r>
        <w:r w:rsidR="002224C1" w:rsidRPr="00C51E07">
          <w:rPr>
            <w:rStyle w:val="a9"/>
            <w:sz w:val="28"/>
            <w:szCs w:val="28"/>
          </w:rPr>
          <w:t xml:space="preserve"> - </w:t>
        </w:r>
        <w:r w:rsidR="002224C1" w:rsidRPr="00C51E07">
          <w:rPr>
            <w:rStyle w:val="a9"/>
            <w:rFonts w:ascii="宋体" w:eastAsia="宋体" w:hAnsi="宋体" w:cs="宋体" w:hint="eastAsia"/>
            <w:sz w:val="28"/>
            <w:szCs w:val="28"/>
          </w:rPr>
          <w:t>中国知网</w:t>
        </w:r>
      </w:hyperlink>
      <w:r w:rsidRPr="000C520B">
        <w:rPr>
          <w:rFonts w:eastAsiaTheme="minorEastAsia"/>
          <w:color w:val="000000"/>
          <w:lang w:eastAsia="zh-CN"/>
        </w:rPr>
        <w:t> (дата обращения: 0</w:t>
      </w:r>
      <w:r>
        <w:rPr>
          <w:rFonts w:eastAsiaTheme="minorEastAsia" w:hint="eastAsia"/>
          <w:color w:val="000000"/>
          <w:lang w:eastAsia="zh-CN"/>
        </w:rPr>
        <w:t>5</w:t>
      </w:r>
      <w:r w:rsidRPr="000C520B">
        <w:rPr>
          <w:rFonts w:eastAsiaTheme="minorEastAsia"/>
          <w:color w:val="000000"/>
          <w:lang w:eastAsia="zh-CN"/>
        </w:rPr>
        <w:t>.03.2026).</w:t>
      </w:r>
    </w:p>
    <w:p w14:paraId="63859313" w14:textId="1AFCCC57" w:rsidR="000C520B" w:rsidRDefault="000C520B" w:rsidP="000C520B">
      <w:pPr>
        <w:pStyle w:val="a5"/>
        <w:numPr>
          <w:ilvl w:val="0"/>
          <w:numId w:val="6"/>
        </w:numPr>
        <w:rPr>
          <w:rFonts w:eastAsiaTheme="minorEastAsia"/>
          <w:color w:val="000000"/>
          <w:lang w:eastAsia="zh-CN"/>
        </w:rPr>
      </w:pPr>
      <w:r w:rsidRPr="000C520B">
        <w:rPr>
          <w:rFonts w:eastAsiaTheme="minorEastAsia"/>
          <w:color w:val="000000"/>
          <w:lang w:eastAsia="zh-CN"/>
        </w:rPr>
        <w:t>Шэньчжэньский центр общественных ресурсов и торговли. Объявления о результатах торгов по государственным закупкам в Шэньчжэне </w:t>
      </w:r>
      <m:oMath>
        <m:r>
          <w:rPr>
            <w:rFonts w:ascii="Cambria Math" w:eastAsiaTheme="minorEastAsia" w:hAnsi="Cambria Math"/>
            <w:color w:val="000000"/>
            <w:lang w:eastAsia="zh-CN"/>
          </w:rPr>
          <m:t>DB</m:t>
        </m:r>
        <m:r>
          <m:rPr>
            <m:sty m:val="p"/>
          </m:rPr>
          <w:rPr>
            <w:rFonts w:ascii="Cambria Math" w:eastAsiaTheme="minorEastAsia" w:hAnsi="Cambria Math"/>
            <w:color w:val="000000"/>
            <w:lang w:eastAsia="zh-CN"/>
          </w:rPr>
          <m:t>/</m:t>
        </m:r>
        <m:r>
          <w:rPr>
            <w:rFonts w:ascii="Cambria Math" w:eastAsiaTheme="minorEastAsia" w:hAnsi="Cambria Math"/>
            <w:color w:val="000000"/>
            <w:lang w:eastAsia="zh-CN"/>
          </w:rPr>
          <m:t>OL</m:t>
        </m:r>
      </m:oMath>
      <w:r w:rsidRPr="000C520B">
        <w:rPr>
          <w:rFonts w:eastAsiaTheme="minorEastAsia"/>
          <w:color w:val="000000"/>
          <w:lang w:eastAsia="zh-CN"/>
        </w:rPr>
        <w:t>. Шэньчжэнь, 2020–2024. URL: </w:t>
      </w:r>
      <w:hyperlink r:id="rId11" w:tgtFrame="_blank" w:history="1">
        <w:r w:rsidRPr="000C520B">
          <w:rPr>
            <w:rStyle w:val="a9"/>
            <w:rFonts w:eastAsiaTheme="minorEastAsia"/>
            <w:lang w:eastAsia="zh-CN"/>
          </w:rPr>
          <w:t>http://www.szggzy.com/</w:t>
        </w:r>
      </w:hyperlink>
      <w:r w:rsidRPr="000C520B">
        <w:rPr>
          <w:rFonts w:eastAsiaTheme="minorEastAsia"/>
          <w:color w:val="000000"/>
          <w:lang w:eastAsia="zh-CN"/>
        </w:rPr>
        <w:t> (дата обращения: 0</w:t>
      </w:r>
      <w:r>
        <w:rPr>
          <w:rFonts w:eastAsiaTheme="minorEastAsia" w:hint="eastAsia"/>
          <w:color w:val="000000"/>
          <w:lang w:eastAsia="zh-CN"/>
        </w:rPr>
        <w:t>5</w:t>
      </w:r>
      <w:r w:rsidRPr="000C520B">
        <w:rPr>
          <w:rFonts w:eastAsiaTheme="minorEastAsia"/>
          <w:color w:val="000000"/>
          <w:lang w:eastAsia="zh-CN"/>
        </w:rPr>
        <w:t>.03.2026).</w:t>
      </w:r>
    </w:p>
    <w:p w14:paraId="445D7A07" w14:textId="258F5B2F" w:rsidR="000C520B" w:rsidRPr="000C520B" w:rsidRDefault="000C520B" w:rsidP="000C520B">
      <w:pPr>
        <w:pStyle w:val="a5"/>
        <w:numPr>
          <w:ilvl w:val="0"/>
          <w:numId w:val="6"/>
        </w:numPr>
        <w:rPr>
          <w:rFonts w:eastAsiaTheme="minorEastAsia"/>
          <w:color w:val="000000"/>
          <w:lang w:eastAsia="zh-CN"/>
        </w:rPr>
      </w:pPr>
      <w:r w:rsidRPr="000C520B">
        <w:rPr>
          <w:rFonts w:eastAsiaTheme="minorEastAsia"/>
          <w:color w:val="000000"/>
          <w:lang w:eastAsia="zh-CN"/>
        </w:rPr>
        <w:t>Wind Information. Финансовые данные предприятий Новой третьей доски </w:t>
      </w:r>
      <m:oMath>
        <m:r>
          <w:rPr>
            <w:rFonts w:ascii="Cambria Math" w:eastAsiaTheme="minorEastAsia" w:hAnsi="Cambria Math"/>
            <w:color w:val="000000"/>
            <w:lang w:eastAsia="zh-CN"/>
          </w:rPr>
          <m:t>DB</m:t>
        </m:r>
        <m:r>
          <m:rPr>
            <m:sty m:val="p"/>
          </m:rPr>
          <w:rPr>
            <w:rFonts w:ascii="Cambria Math" w:eastAsiaTheme="minorEastAsia" w:hAnsi="Cambria Math"/>
            <w:color w:val="000000"/>
            <w:lang w:eastAsia="zh-CN"/>
          </w:rPr>
          <m:t>/</m:t>
        </m:r>
        <m:r>
          <w:rPr>
            <w:rFonts w:ascii="Cambria Math" w:eastAsiaTheme="minorEastAsia" w:hAnsi="Cambria Math"/>
            <w:color w:val="000000"/>
            <w:lang w:eastAsia="zh-CN"/>
          </w:rPr>
          <m:t>OL</m:t>
        </m:r>
      </m:oMath>
      <w:r w:rsidRPr="000C520B">
        <w:rPr>
          <w:rFonts w:eastAsiaTheme="minorEastAsia"/>
          <w:color w:val="000000"/>
          <w:lang w:eastAsia="zh-CN"/>
        </w:rPr>
        <w:t>. Шанхай, 2020–2024. URL: </w:t>
      </w:r>
      <w:hyperlink r:id="rId12" w:tgtFrame="_blank" w:history="1">
        <w:r w:rsidRPr="000C520B">
          <w:rPr>
            <w:rStyle w:val="a9"/>
            <w:rFonts w:eastAsiaTheme="minorEastAsia"/>
            <w:lang w:eastAsia="zh-CN"/>
          </w:rPr>
          <w:t>https://www.wind.com.cn/</w:t>
        </w:r>
      </w:hyperlink>
      <w:r w:rsidRPr="000C520B">
        <w:rPr>
          <w:rFonts w:eastAsiaTheme="minorEastAsia"/>
          <w:color w:val="000000"/>
          <w:lang w:eastAsia="zh-CN"/>
        </w:rPr>
        <w:t> (дата обращения: 0</w:t>
      </w:r>
      <w:r>
        <w:rPr>
          <w:rFonts w:eastAsiaTheme="minorEastAsia" w:hint="eastAsia"/>
          <w:color w:val="000000"/>
          <w:lang w:eastAsia="zh-CN"/>
        </w:rPr>
        <w:t>5</w:t>
      </w:r>
      <w:r w:rsidRPr="000C520B">
        <w:rPr>
          <w:rFonts w:eastAsiaTheme="minorEastAsia"/>
          <w:color w:val="000000"/>
          <w:lang w:eastAsia="zh-CN"/>
        </w:rPr>
        <w:t>.03.2026).</w:t>
      </w:r>
    </w:p>
    <w:sectPr w:rsidR="000C520B" w:rsidRPr="000C520B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7C6D" w14:textId="77777777" w:rsidR="00D23BD4" w:rsidRDefault="00D23BD4" w:rsidP="00D969E4">
      <w:r>
        <w:separator/>
      </w:r>
    </w:p>
  </w:endnote>
  <w:endnote w:type="continuationSeparator" w:id="0">
    <w:p w14:paraId="66DB7754" w14:textId="77777777" w:rsidR="00D23BD4" w:rsidRDefault="00D23BD4" w:rsidP="00D9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Segoe Print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B3FA" w14:textId="77777777" w:rsidR="00D23BD4" w:rsidRDefault="00D23BD4" w:rsidP="00D969E4">
      <w:r>
        <w:separator/>
      </w:r>
    </w:p>
  </w:footnote>
  <w:footnote w:type="continuationSeparator" w:id="0">
    <w:p w14:paraId="16CAAB6F" w14:textId="77777777" w:rsidR="00D23BD4" w:rsidRDefault="00D23BD4" w:rsidP="00D96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419B"/>
    <w:multiLevelType w:val="hybridMultilevel"/>
    <w:tmpl w:val="8D2EB7D8"/>
    <w:lvl w:ilvl="0" w:tplc="4E2685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B29F8"/>
    <w:multiLevelType w:val="hybridMultilevel"/>
    <w:tmpl w:val="63B0DAA6"/>
    <w:lvl w:ilvl="0" w:tplc="0896A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36292237">
    <w:abstractNumId w:val="3"/>
  </w:num>
  <w:num w:numId="2" w16cid:durableId="659308614">
    <w:abstractNumId w:val="4"/>
  </w:num>
  <w:num w:numId="3" w16cid:durableId="27460223">
    <w:abstractNumId w:val="2"/>
  </w:num>
  <w:num w:numId="4" w16cid:durableId="503281189">
    <w:abstractNumId w:val="0"/>
  </w:num>
  <w:num w:numId="5" w16cid:durableId="459491707">
    <w:abstractNumId w:val="1"/>
  </w:num>
  <w:num w:numId="6" w16cid:durableId="2009596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520B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4C1"/>
    <w:rsid w:val="0022260A"/>
    <w:rsid w:val="002264EE"/>
    <w:rsid w:val="0023307C"/>
    <w:rsid w:val="0031328B"/>
    <w:rsid w:val="0031361E"/>
    <w:rsid w:val="00375C78"/>
    <w:rsid w:val="00391C38"/>
    <w:rsid w:val="003B76D6"/>
    <w:rsid w:val="003C1479"/>
    <w:rsid w:val="003E2601"/>
    <w:rsid w:val="003F4E6B"/>
    <w:rsid w:val="004A26A3"/>
    <w:rsid w:val="004F0EDF"/>
    <w:rsid w:val="00522BF1"/>
    <w:rsid w:val="0055433F"/>
    <w:rsid w:val="00590166"/>
    <w:rsid w:val="005D022B"/>
    <w:rsid w:val="005E5BE9"/>
    <w:rsid w:val="005E7DFF"/>
    <w:rsid w:val="00684B49"/>
    <w:rsid w:val="0069427D"/>
    <w:rsid w:val="006A3095"/>
    <w:rsid w:val="006F7A19"/>
    <w:rsid w:val="007213E1"/>
    <w:rsid w:val="00775389"/>
    <w:rsid w:val="007960F1"/>
    <w:rsid w:val="00797838"/>
    <w:rsid w:val="007C36D8"/>
    <w:rsid w:val="007F2744"/>
    <w:rsid w:val="008931BE"/>
    <w:rsid w:val="008C67E3"/>
    <w:rsid w:val="00902594"/>
    <w:rsid w:val="00914205"/>
    <w:rsid w:val="00921D45"/>
    <w:rsid w:val="009426C0"/>
    <w:rsid w:val="0096252C"/>
    <w:rsid w:val="00980A65"/>
    <w:rsid w:val="009A66DB"/>
    <w:rsid w:val="009B2F80"/>
    <w:rsid w:val="009B3300"/>
    <w:rsid w:val="009F3380"/>
    <w:rsid w:val="00A02163"/>
    <w:rsid w:val="00A314FE"/>
    <w:rsid w:val="00A65B9F"/>
    <w:rsid w:val="00AA337E"/>
    <w:rsid w:val="00AD7380"/>
    <w:rsid w:val="00B116B9"/>
    <w:rsid w:val="00BC5EF2"/>
    <w:rsid w:val="00BF36F8"/>
    <w:rsid w:val="00BF4622"/>
    <w:rsid w:val="00C004C1"/>
    <w:rsid w:val="00C844E2"/>
    <w:rsid w:val="00CD00B1"/>
    <w:rsid w:val="00D137C3"/>
    <w:rsid w:val="00D22306"/>
    <w:rsid w:val="00D23BD4"/>
    <w:rsid w:val="00D42542"/>
    <w:rsid w:val="00D8121C"/>
    <w:rsid w:val="00D969E4"/>
    <w:rsid w:val="00DD0AB7"/>
    <w:rsid w:val="00DF2322"/>
    <w:rsid w:val="00E22189"/>
    <w:rsid w:val="00E566C2"/>
    <w:rsid w:val="00E74069"/>
    <w:rsid w:val="00E81D35"/>
    <w:rsid w:val="00E8477E"/>
    <w:rsid w:val="00E87EC0"/>
    <w:rsid w:val="00EB1F49"/>
    <w:rsid w:val="00ED60B4"/>
    <w:rsid w:val="00F865B3"/>
    <w:rsid w:val="00FB1509"/>
    <w:rsid w:val="00FB74AC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F7516"/>
  <w15:docId w15:val="{816CE520-36EC-489C-893B-1D5E665E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  <w:style w:type="paragraph" w:styleId="ad">
    <w:name w:val="Bibliography"/>
    <w:basedOn w:val="a"/>
    <w:next w:val="a"/>
    <w:uiPriority w:val="37"/>
    <w:semiHidden/>
    <w:unhideWhenUsed/>
    <w:rsid w:val="00BC5EF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eastAsiaTheme="minorEastAsia"/>
      <w:szCs w:val="20"/>
      <w:lang w:val="en-GB" w:eastAsia="en-US"/>
    </w:rPr>
  </w:style>
  <w:style w:type="paragraph" w:customStyle="1" w:styleId="ae">
    <w:name w:val="Литература"/>
    <w:basedOn w:val="a"/>
    <w:link w:val="af"/>
    <w:qFormat/>
    <w:rsid w:val="00BC5EF2"/>
    <w:pPr>
      <w:widowControl w:val="0"/>
      <w:overflowPunct w:val="0"/>
      <w:autoSpaceDE w:val="0"/>
      <w:autoSpaceDN w:val="0"/>
      <w:adjustRightInd w:val="0"/>
      <w:spacing w:before="240" w:after="120"/>
      <w:ind w:firstLine="567"/>
      <w:jc w:val="both"/>
      <w:textAlignment w:val="baseline"/>
    </w:pPr>
    <w:rPr>
      <w:rFonts w:eastAsiaTheme="minorEastAsia"/>
      <w:b/>
      <w:bCs/>
      <w:szCs w:val="20"/>
      <w:lang w:eastAsia="en-US"/>
    </w:rPr>
  </w:style>
  <w:style w:type="character" w:customStyle="1" w:styleId="af">
    <w:name w:val="Литература Знак"/>
    <w:link w:val="ae"/>
    <w:rsid w:val="00BC5EF2"/>
    <w:rPr>
      <w:rFonts w:ascii="Times New Roman" w:eastAsiaTheme="minorEastAsia" w:hAnsi="Times New Roman" w:cs="Times New Roman"/>
      <w:b/>
      <w:bCs/>
      <w:sz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D969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969E4"/>
    <w:rPr>
      <w:rFonts w:ascii="Times New Roman" w:eastAsia="Times New Roman" w:hAnsi="Times New Roman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969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969E4"/>
    <w:rPr>
      <w:rFonts w:ascii="Times New Roman" w:eastAsia="Times New Roman" w:hAnsi="Times New Roman" w:cs="Times New Roman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D969E4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DD0AB7"/>
    <w:pPr>
      <w:spacing w:before="100" w:beforeAutospacing="1" w:after="100" w:afterAutospacing="1"/>
    </w:pPr>
    <w:rPr>
      <w:rFonts w:ascii="宋体" w:eastAsia="宋体" w:hAnsi="宋体" w:cs="宋体"/>
      <w:lang w:val="en-US" w:eastAsia="zh-CN"/>
    </w:rPr>
  </w:style>
  <w:style w:type="paragraph" w:customStyle="1" w:styleId="p1">
    <w:name w:val="p1"/>
    <w:basedOn w:val="a"/>
    <w:qFormat/>
    <w:rsid w:val="007960F1"/>
    <w:pPr>
      <w:widowControl w:val="0"/>
    </w:pPr>
    <w:rPr>
      <w:rFonts w:ascii=".applesystemuifont" w:eastAsia=".applesystemuifont" w:hAnsi=".applesystemuifont"/>
      <w:color w:val="000000"/>
      <w:sz w:val="25"/>
      <w:szCs w:val="25"/>
      <w:lang w:val="en-US" w:eastAsia="zh-CN"/>
    </w:rPr>
  </w:style>
  <w:style w:type="character" w:styleId="af6">
    <w:name w:val="FollowedHyperlink"/>
    <w:basedOn w:val="a0"/>
    <w:uiPriority w:val="99"/>
    <w:semiHidden/>
    <w:unhideWhenUsed/>
    <w:rsid w:val="002224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1359048@qq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nd.com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ggzy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ns.cnki.net/kcms2/article/abstract?v=l4rz0Y_R2D8_zkCD4NtAEpdRy29vuGQ3D5tcjIOYzEJB3FNBhaUMnt8N9cTk9fJPg5LKS-EQEYw0Fgxtiq2AjKtf_hAEYk43R2CHx5wsVJj9gga5mkfVGQcbT599EUjEGgrb57k2B664d7O_RAVcAzeGqAnimKBJR_HGCFVfBDlGzQXe5mN1jw==&amp;uniplatform=NZKPT&amp;language=CH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cn/zhengce/zhengceku/202407/content_696121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642</Words>
  <Characters>4680</Characters>
  <Application>Microsoft Office Word</Application>
  <DocSecurity>0</DocSecurity>
  <Lines>85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55923116@qq.com</cp:lastModifiedBy>
  <cp:revision>15</cp:revision>
  <dcterms:created xsi:type="dcterms:W3CDTF">2025-03-04T06:13:00Z</dcterms:created>
  <dcterms:modified xsi:type="dcterms:W3CDTF">2026-03-24T13:32:00Z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