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0F35E9" w14:textId="77777777" w:rsidR="009B5E00" w:rsidRDefault="00000000">
      <w:pPr>
        <w:pStyle w:val="1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Положительные эффекты развития китайско-российской торговли</w:t>
      </w:r>
    </w:p>
    <w:p w14:paraId="6C093277" w14:textId="77777777" w:rsidR="009B5E00" w:rsidRDefault="00000000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Чэнь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Мэйнин</w:t>
      </w:r>
      <w:proofErr w:type="spellEnd"/>
    </w:p>
    <w:p w14:paraId="79134DFC" w14:textId="77777777" w:rsidR="009B5E00" w:rsidRDefault="00000000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Студентка</w:t>
      </w:r>
      <w:r>
        <w:rPr>
          <w:rFonts w:ascii="Times New Roman" w:hAnsi="Times New Roman" w:cs="Times New Roman" w:hint="eastAsia"/>
          <w:i/>
          <w:iCs/>
          <w:sz w:val="24"/>
          <w:lang w:val="ru-RU"/>
        </w:rPr>
        <w:t xml:space="preserve"> </w:t>
      </w:r>
    </w:p>
    <w:p w14:paraId="1663F6A7" w14:textId="77777777" w:rsidR="009B5E00" w:rsidRDefault="00000000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Университет МГУ-ППИ, экономический факультет, Шэньчжэнь, Китай </w:t>
      </w:r>
    </w:p>
    <w:p w14:paraId="4F4545EE" w14:textId="77777777" w:rsidR="009B5E00" w:rsidRDefault="00000000">
      <w:pPr>
        <w:ind w:left="51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>
        <w:rPr>
          <w:rFonts w:ascii="Times New Roman" w:hAnsi="Times New Roman" w:cs="Times New Roman" w:hint="eastAsia"/>
          <w:i/>
          <w:iCs/>
          <w:sz w:val="24"/>
          <w:lang w:val="ru-RU"/>
        </w:rPr>
        <w:t>blueberrybts@qq.com</w:t>
      </w:r>
    </w:p>
    <w:p w14:paraId="3903E2C3" w14:textId="77777777" w:rsidR="009B5E00" w:rsidRDefault="009B5E00">
      <w:pPr>
        <w:rPr>
          <w:rFonts w:ascii="Cascadia Code" w:hAnsi="Cascadia Code" w:cs="Cascadia Code"/>
          <w:sz w:val="24"/>
          <w:lang w:val="ru-RU"/>
        </w:rPr>
      </w:pPr>
    </w:p>
    <w:p w14:paraId="69E4D868" w14:textId="77777777" w:rsidR="009B5E00" w:rsidRPr="002D25EB" w:rsidRDefault="00000000">
      <w:pPr>
        <w:widowControl/>
        <w:ind w:left="397" w:firstLineChars="200" w:firstLine="48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Рост китайско-российской торговли напрямую способствует экономическому росту обеих стран.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[1]</w:t>
      </w:r>
    </w:p>
    <w:p w14:paraId="7F585B46" w14:textId="43A1EBFC" w:rsidR="009B5E00" w:rsidRPr="002D25EB" w:rsidRDefault="00000000">
      <w:pPr>
        <w:widowControl/>
        <w:ind w:left="397" w:firstLineChars="200" w:firstLine="48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Для России экспорт энергоресурсов, сельскохозяйственной и сырьевой продукции обеспечивает стабильные валютные поступления, снижает зависимость от европейских рынков и повышает экономическую устойчивость в условиях санкционного давления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[2]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Для Китая сотрудничество гарантирует надежные поставки нефти, газа и сельхозпродукции, укрепляет энергетическую и продовольственную безопасность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[3]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6ABA5AA5" w14:textId="55B65117" w:rsidR="009B5E00" w:rsidRPr="002D25EB" w:rsidRDefault="00000000">
      <w:pPr>
        <w:widowControl/>
        <w:ind w:left="397" w:firstLineChars="200" w:firstLine="48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Торговля стимулирует рост ВВП, увеличивает налоговые поступления и создает новые рабочие места в смежных отраслях – логистике, таможенном деле, производстве и услугах. Китай экспортирует высокотехнологичную продукцию, оборудование, потребительские товары, Россия – энергию, сырье и сельхозпродукцию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[4]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2AFED7AC" w14:textId="15065382" w:rsidR="009B5E00" w:rsidRPr="002D25EB" w:rsidRDefault="00000000">
      <w:pPr>
        <w:widowControl/>
        <w:ind w:left="397" w:firstLineChars="100" w:firstLine="24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  Китай активно экспортирует в Россию автомобили, электронную технику, промышленное оборудование; Россия расширяет экспорт переработанной сельхозпродукции, древесины и химической продукции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[3]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2CB2011D" w14:textId="30311F57" w:rsidR="009B5E00" w:rsidRPr="002D25EB" w:rsidRDefault="00000000">
      <w:pPr>
        <w:widowControl/>
        <w:ind w:left="397" w:firstLine="42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Углубляется сотрудничество в производственных цепочках: реализуются совместные инвестиционные проекты в энергетике, автомобилестроении, металлургии и электронике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[5]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В 2024 году в стадии реализации находилось 86 крупных совместных проектов, что способствует модернизации промышленности, передаче технологий и повышению добавленной стоимости продукции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[2]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Снижаются технические барьеры, унифицируются стандарты, что упрощает доступ предприятий на рынки друг друга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[4]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39733A36" w14:textId="6B763471" w:rsidR="009B5E00" w:rsidRPr="002D25EB" w:rsidRDefault="00000000">
      <w:pPr>
        <w:widowControl/>
        <w:ind w:left="397" w:firstLineChars="200" w:firstLine="48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Активный рост торговли стимулирует развитие приграничной и трансконтинентальной инфраструктуры. Сокращаются сроки таможенного оформления, повышается эффективность грузооборота, снижаются транспортные издержки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[6]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676BE2DE" w14:textId="11E5A7E1" w:rsidR="009B5E00" w:rsidRPr="002D25EB" w:rsidRDefault="00000000">
      <w:pPr>
        <w:widowControl/>
        <w:ind w:left="397" w:firstLine="42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Для регионов Дальнего Востока России и Северо-Востока Китая торговля становится движущей силой социально-экономического развития: создаются логистические парки, промышленные зоны, увеличивается приток инвестиций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[7]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Региональное сотрудничество охватывает сельское хозяйство, туризм, образование и здравоохранение, что повышает качество жизни населения приграничных территорий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[7]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48DAC58D" w14:textId="1574545D" w:rsidR="009B5E00" w:rsidRPr="002D25EB" w:rsidRDefault="00000000">
      <w:pPr>
        <w:widowControl/>
        <w:ind w:left="397" w:firstLineChars="200" w:firstLine="48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Развитие китайско-российской торговли генерирует многосторонние положительные эффекты: ускоряет экономический рост, оптимизирует структуру </w:t>
      </w:r>
      <w:r>
        <w:rPr>
          <w:rFonts w:ascii="Times New Roman" w:eastAsia="SimSun" w:hAnsi="Times New Roman" w:cs="Times New Roman"/>
          <w:sz w:val="24"/>
          <w:lang w:val="ru-RU"/>
        </w:rPr>
        <w:lastRenderedPageBreak/>
        <w:t>торговли, модернизирует промышленность и инфраструктуру, повышает финансовую стабильность и укрепляет региональное развитие. Дальнейшее углубление торгово-экономических связей будет способствовать не только интересам Китая и России, но и формированию справедливого и многополярного мирового хозяйства</w:t>
      </w:r>
      <w:r w:rsidR="002D25EB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2D25EB">
        <w:rPr>
          <w:rFonts w:ascii="Times New Roman" w:eastAsia="SimSun" w:hAnsi="Times New Roman" w:cs="Times New Roman" w:hint="eastAsia"/>
          <w:sz w:val="24"/>
          <w:lang w:val="ru-RU"/>
        </w:rPr>
        <w:t>[5]</w:t>
      </w:r>
      <w:r w:rsidR="002D25EB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01AC3AA2" w14:textId="77777777" w:rsidR="009B5E00" w:rsidRDefault="009B5E00">
      <w:pPr>
        <w:widowControl/>
        <w:ind w:left="397"/>
        <w:rPr>
          <w:rFonts w:ascii="Times New Roman" w:eastAsia="SimSun" w:hAnsi="Times New Roman" w:cs="Times New Roman"/>
          <w:sz w:val="24"/>
          <w:lang w:val="ru-RU"/>
        </w:rPr>
      </w:pPr>
    </w:p>
    <w:p w14:paraId="0FF4A788" w14:textId="77777777" w:rsidR="009B5E00" w:rsidRDefault="00000000">
      <w:pPr>
        <w:ind w:left="397" w:firstLineChars="200" w:firstLine="48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p w14:paraId="0D4ED70F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>1.</w:t>
      </w:r>
      <w:hyperlink r:id="rId6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www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chinadaily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com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cn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a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/202410/23/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WS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67186351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a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310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f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1265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a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91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html</w:t>
        </w:r>
      </w:hyperlink>
    </w:p>
    <w:p w14:paraId="0A61B4CF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>2.</w:t>
      </w:r>
      <w:hyperlink r:id="rId7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www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economy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gov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ru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material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file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/195754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7897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bff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50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dc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164890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f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91407/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o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tekushchey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situacii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v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rossiyskoy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ekonomike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itogi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_2024_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goda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pdf</w:t>
        </w:r>
      </w:hyperlink>
    </w:p>
    <w:p w14:paraId="1CF86BBD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>3.</w:t>
      </w:r>
      <w:hyperlink r:id="rId8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www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xinhuanet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com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english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/2023-03-22/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_1303327135.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htm</w:t>
        </w:r>
        <w:proofErr w:type="spellEnd"/>
      </w:hyperlink>
    </w:p>
    <w:p w14:paraId="12233303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 xml:space="preserve">4. </w:t>
      </w:r>
      <w:hyperlink r:id="rId9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ceri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lnu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edu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cn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info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/1009/2609.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htm</w:t>
        </w:r>
        <w:proofErr w:type="spellEnd"/>
      </w:hyperlink>
    </w:p>
    <w:p w14:paraId="26CFD608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 xml:space="preserve">5. </w:t>
      </w:r>
      <w:hyperlink r:id="rId10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government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ru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news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/56833/</w:t>
        </w:r>
      </w:hyperlink>
    </w:p>
    <w:p w14:paraId="4A0DBCC0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>6.</w:t>
      </w:r>
      <w:hyperlink r:id="rId11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www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economy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gov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ru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material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news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regiony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rossii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kitaya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podpisali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_120_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soglasheniy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o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_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sotrudnichestve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html</w:t>
        </w:r>
      </w:hyperlink>
    </w:p>
    <w:p w14:paraId="035B823C" w14:textId="77777777" w:rsidR="009B5E00" w:rsidRDefault="00000000">
      <w:pPr>
        <w:widowControl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lang w:val="ru-RU"/>
        </w:rPr>
        <w:t xml:space="preserve">7. </w:t>
      </w:r>
      <w:hyperlink r:id="rId12" w:history="1"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https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politics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people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com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proofErr w:type="spellStart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cn</w:t>
        </w:r>
        <w:proofErr w:type="spellEnd"/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n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1/2025/0509/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c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  <w:lang w:val="ru-RU"/>
          </w:rPr>
          <w:t>1001-40476026.</w:t>
        </w:r>
        <w:r>
          <w:rPr>
            <w:rStyle w:val="a9"/>
            <w:rFonts w:ascii="Times New Roman" w:eastAsia="SimSun" w:hAnsi="Times New Roman" w:cs="Times New Roman"/>
            <w:color w:val="000000" w:themeColor="text1"/>
            <w:sz w:val="24"/>
            <w:u w:val="none"/>
          </w:rPr>
          <w:t>html</w:t>
        </w:r>
      </w:hyperlink>
    </w:p>
    <w:p w14:paraId="6B05DC8C" w14:textId="77777777" w:rsidR="009B5E00" w:rsidRDefault="009B5E00">
      <w:pPr>
        <w:widowControl/>
        <w:spacing w:beforeAutospacing="1" w:afterAutospacing="1"/>
        <w:rPr>
          <w:rFonts w:ascii="Times New Roman" w:eastAsia="SimSun" w:hAnsi="Times New Roman" w:cs="Times New Roman"/>
          <w:color w:val="000000" w:themeColor="text1"/>
          <w:sz w:val="24"/>
          <w:lang w:val="ru-RU"/>
        </w:rPr>
      </w:pPr>
    </w:p>
    <w:p w14:paraId="13A23990" w14:textId="77777777" w:rsidR="009B5E00" w:rsidRDefault="009B5E00">
      <w:pPr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sectPr w:rsidR="009B5E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0517" w14:textId="77777777" w:rsidR="001D7725" w:rsidRDefault="001D7725">
      <w:r>
        <w:separator/>
      </w:r>
    </w:p>
  </w:endnote>
  <w:endnote w:type="continuationSeparator" w:id="0">
    <w:p w14:paraId="7ACE0A70" w14:textId="77777777" w:rsidR="001D7725" w:rsidRDefault="001D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scadia Code">
    <w:altName w:val="Segoe UI Symbol"/>
    <w:panose1 w:val="020B0604020202020204"/>
    <w:charset w:val="00"/>
    <w:family w:val="auto"/>
    <w:pitch w:val="default"/>
    <w:sig w:usb0="A1002AFF" w:usb1="C200F9FB" w:usb2="00040020" w:usb3="00000000" w:csb0="6000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6E09" w14:textId="77777777" w:rsidR="009B5E00" w:rsidRDefault="009B5E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3382" w14:textId="77777777" w:rsidR="009B5E00" w:rsidRDefault="009B5E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B37D" w14:textId="77777777" w:rsidR="009B5E00" w:rsidRDefault="009B5E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8888" w14:textId="77777777" w:rsidR="001D7725" w:rsidRDefault="001D7725">
      <w:r>
        <w:separator/>
      </w:r>
    </w:p>
  </w:footnote>
  <w:footnote w:type="continuationSeparator" w:id="0">
    <w:p w14:paraId="75E68D37" w14:textId="77777777" w:rsidR="001D7725" w:rsidRDefault="001D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79F6" w14:textId="77777777" w:rsidR="009B5E00" w:rsidRDefault="009B5E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0C2D" w14:textId="77777777" w:rsidR="009B5E00" w:rsidRDefault="009B5E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9A9B" w14:textId="77777777" w:rsidR="009B5E00" w:rsidRDefault="009B5E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A2"/>
    <w:rsid w:val="00173776"/>
    <w:rsid w:val="001D7725"/>
    <w:rsid w:val="00256ABA"/>
    <w:rsid w:val="002719DE"/>
    <w:rsid w:val="002937A2"/>
    <w:rsid w:val="002D25EB"/>
    <w:rsid w:val="004312F6"/>
    <w:rsid w:val="00675C91"/>
    <w:rsid w:val="006D2FF5"/>
    <w:rsid w:val="00701D97"/>
    <w:rsid w:val="007A397E"/>
    <w:rsid w:val="007B241E"/>
    <w:rsid w:val="00952E5A"/>
    <w:rsid w:val="009912BF"/>
    <w:rsid w:val="009B5E00"/>
    <w:rsid w:val="00A52236"/>
    <w:rsid w:val="00AE5155"/>
    <w:rsid w:val="00D91B72"/>
    <w:rsid w:val="00E461E6"/>
    <w:rsid w:val="00E50603"/>
    <w:rsid w:val="00F55860"/>
    <w:rsid w:val="0B085665"/>
    <w:rsid w:val="13844474"/>
    <w:rsid w:val="770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32E1B"/>
  <w15:docId w15:val="{158D13AE-6CA1-9447-8988-AA6ABA74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a4">
    <w:name w:val="Нижний колонтитул Знак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nhuanet.com/english/2023-03-22/c_1303327135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conomy.gov.ru/material/file/195754c7897bff1c50dc164890f91407/o_tekushchey_situacii_v_rossiyskoy_ekonomike_itogi_2024_goda.pdf" TargetMode="External"/><Relationship Id="rId12" Type="http://schemas.openxmlformats.org/officeDocument/2006/relationships/hyperlink" Target="https://politics.people.com.cn/n1/2025/0509/c1001-40476026.html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hinadaily.com.cn/a/202410/23/WS67186351a310f1265a1c91cc.html" TargetMode="External"/><Relationship Id="rId11" Type="http://schemas.openxmlformats.org/officeDocument/2006/relationships/hyperlink" Target="https://www.economy.gov.ru/material/news/regiony_rossii_i_kitaya_podpisali_120_soglasheniy_o_sotrudnichestve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government.ru/news/56833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eri.lnu.edu.cn/info/1009/2609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Екатерина Набоких</cp:lastModifiedBy>
  <cp:revision>3</cp:revision>
  <dcterms:created xsi:type="dcterms:W3CDTF">2026-04-16T06:00:00Z</dcterms:created>
  <dcterms:modified xsi:type="dcterms:W3CDTF">2026-04-17T06:53:00Z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ADE8542B4C754A8DA79829F7B0BBF7E2_13</vt:lpwstr>
  </property>
  <property fmtid="{D5CDD505-2E9C-101B-9397-08002B2CF9AE}" pid="4" name="KSOTemplateDocerSaveRecord">
    <vt:lpwstr>eyJoZGlkIjoiYjkyZmNhZmMwYTRkMzdjNDc0ZDBiODA4ZTNmNjg2YzYiLCJ1c2VySWQiOiI3MzA1NTY4MTcifQ==</vt:lpwstr>
  </property>
</Properties>
</file>