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0ED6" w14:textId="77777777" w:rsidR="00C85741" w:rsidRDefault="00BC012D" w:rsidP="00CA4C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eastAsia="zh-CN"/>
          <w14:ligatures w14:val="none"/>
        </w:rPr>
      </w:pPr>
      <w:r w:rsidRPr="00BC012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De Novo</w:t>
      </w:r>
      <w:r w:rsidRPr="00BC012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characterization of shell matrix Proteins in limpet, Nipponacmea discoveries</w:t>
      </w:r>
    </w:p>
    <w:p w14:paraId="3349C4CE" w14:textId="31748078" w:rsidR="00CA4C91" w:rsidRDefault="00C85741" w:rsidP="00CA4C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</w:pPr>
      <w:r>
        <w:rPr>
          <w:rFonts w:ascii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PhD</w:t>
      </w:r>
      <w:r w:rsidR="00CA4C91"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Lecturer</w:t>
      </w:r>
    </w:p>
    <w:p w14:paraId="1BB9B18D" w14:textId="77777777" w:rsidR="003C12C6" w:rsidRDefault="00182BB6" w:rsidP="00CA4C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</w:pPr>
      <w:r w:rsidRPr="00182BB6"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  <w:t xml:space="preserve">Shenzhen MSU-BIT University </w:t>
      </w:r>
    </w:p>
    <w:p w14:paraId="6E1E184F" w14:textId="6A7C1502" w:rsidR="00182BB6" w:rsidRPr="00182BB6" w:rsidRDefault="003C12C6" w:rsidP="00CA4C91">
      <w:pPr>
        <w:spacing w:after="0" w:line="240" w:lineRule="auto"/>
        <w:jc w:val="center"/>
        <w:rPr>
          <w:rFonts w:ascii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Faculty of </w:t>
      </w:r>
      <w:r>
        <w:rPr>
          <w:rFonts w:ascii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Biology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</w:t>
      </w:r>
      <w:r>
        <w:rPr>
          <w:rFonts w:ascii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 xml:space="preserve"> </w:t>
      </w:r>
      <w:r w:rsidR="00182BB6" w:rsidRPr="00182BB6"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  <w:t xml:space="preserve">No. 1, International University Park Road, </w:t>
      </w:r>
      <w:proofErr w:type="spellStart"/>
      <w:r w:rsidR="00182BB6" w:rsidRPr="00182BB6"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  <w:t>Dayun</w:t>
      </w:r>
      <w:proofErr w:type="spellEnd"/>
      <w:r w:rsidR="00182BB6" w:rsidRPr="00182BB6"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  <w:t xml:space="preserve"> New Town, Longgang District, Shenzhen 518172, China.</w:t>
      </w:r>
    </w:p>
    <w:p w14:paraId="300FEE40" w14:textId="63D267F7" w:rsidR="00CA4C91" w:rsidRPr="00CA4C91" w:rsidRDefault="00CA4C91" w:rsidP="00CA4C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Lomonosov Moscow State University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br/>
        <w:t xml:space="preserve">Faculty of </w:t>
      </w:r>
      <w:r w:rsidR="00FD2265">
        <w:rPr>
          <w:rFonts w:ascii="Times New Roman" w:hAnsi="Times New Roman" w:cs="Times New Roman" w:hint="eastAsia"/>
          <w:i/>
          <w:iCs/>
          <w:color w:val="000000"/>
          <w:kern w:val="0"/>
          <w:lang w:eastAsia="zh-CN"/>
          <w14:ligatures w14:val="none"/>
        </w:rPr>
        <w:t>Biology</w:t>
      </w: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</w:t>
      </w:r>
      <w:r w:rsidR="00FD2265" w:rsidRPr="00FD226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1 </w:t>
      </w:r>
      <w:proofErr w:type="spellStart"/>
      <w:r w:rsidR="00FD2265" w:rsidRPr="00FD226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Leninskie</w:t>
      </w:r>
      <w:proofErr w:type="spellEnd"/>
      <w:r w:rsidR="00FD2265" w:rsidRPr="00FD226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Gory, </w:t>
      </w:r>
      <w:proofErr w:type="spellStart"/>
      <w:r w:rsidR="00FD2265" w:rsidRPr="00FD226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bld</w:t>
      </w:r>
      <w:proofErr w:type="spellEnd"/>
      <w:r w:rsidR="00FD2265" w:rsidRPr="00FD226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12, 119234, Moscow, Russia</w:t>
      </w:r>
    </w:p>
    <w:p w14:paraId="6E33D7CD" w14:textId="508988B8" w:rsidR="00CA4C91" w:rsidRPr="00FD2265" w:rsidRDefault="00CA4C91" w:rsidP="00CA4C9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lang w:eastAsia="zh-CN"/>
          <w14:ligatures w14:val="none"/>
        </w:rPr>
      </w:pPr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E–</w:t>
      </w:r>
      <w:proofErr w:type="gramStart"/>
      <w:r w:rsidRPr="00CA4C9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mail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:</w:t>
      </w:r>
      <w:r w:rsidR="00FD2265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zh-CN"/>
          <w14:ligatures w14:val="none"/>
        </w:rPr>
        <w:t>dongfangli20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@</w:t>
      </w:r>
      <w:r w:rsidR="00FD2265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zh-CN"/>
          <w14:ligatures w14:val="none"/>
        </w:rPr>
        <w:t>163</w:t>
      </w:r>
      <w:r w:rsidRPr="00CA4C9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.</w:t>
      </w:r>
      <w:r w:rsidR="00FD2265">
        <w:rPr>
          <w:rFonts w:ascii="Times New Roman" w:hAnsi="Times New Roman" w:cs="Times New Roman" w:hint="eastAsia"/>
          <w:i/>
          <w:iCs/>
          <w:color w:val="000000" w:themeColor="text1"/>
          <w:kern w:val="0"/>
          <w:lang w:eastAsia="zh-CN"/>
          <w14:ligatures w14:val="none"/>
        </w:rPr>
        <w:t>com</w:t>
      </w:r>
      <w:proofErr w:type="gramEnd"/>
    </w:p>
    <w:p w14:paraId="3EAE6074" w14:textId="0AA4749A" w:rsidR="00DE01B8" w:rsidRDefault="00DE01B8" w:rsidP="00DE01B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eastAsia="zh-CN"/>
          <w14:ligatures w14:val="none"/>
        </w:rPr>
      </w:pPr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formation of </w:t>
      </w:r>
      <w:proofErr w:type="spellStart"/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CaCO</w:t>
      </w:r>
      <w:proofErr w:type="spellEnd"/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₃ crystals into complex </w:t>
      </w:r>
      <w:proofErr w:type="spellStart"/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biocomposites</w:t>
      </w:r>
      <w:proofErr w:type="spellEnd"/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proteins is a key feature of mollus</w:t>
      </w:r>
      <w:r>
        <w:rPr>
          <w:rFonts w:asciiTheme="minorEastAsia" w:hAnsiTheme="minorEastAsia" w:cs="Times New Roman" w:hint="eastAsia"/>
          <w:color w:val="000000"/>
          <w:kern w:val="0"/>
          <w:lang w:eastAsia="zh-CN"/>
          <w14:ligatures w14:val="none"/>
        </w:rPr>
        <w:t>c</w:t>
      </w:r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shells. Although proteins typically account for less than 5% of the total shell mass, they play critical roles in determining shell microstructure. Transcriptomic and proteomic analyses have revealed a diverse array of shell matrix proteins (SMPs), which can be classified into several distinct categories: repetitive low-complexity domain-containing proteins, acidic proteins, enzymes, extracellular matrix-binding proteins, calcium-binding proteins, molecular chaperones, ion transporters, structural proteins, protease inhibitors, and orphan proteins lacking detectable functional domains.</w:t>
      </w:r>
      <w:r>
        <w:rPr>
          <w:rFonts w:ascii="Times New Roman" w:hAnsi="Times New Roman" w:cs="Times New Roman" w:hint="eastAsia"/>
          <w:color w:val="000000"/>
          <w:kern w:val="0"/>
          <w:lang w:eastAsia="zh-CN"/>
          <w14:ligatures w14:val="none"/>
        </w:rPr>
        <w:t xml:space="preserve"> </w:t>
      </w:r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SMPs from </w:t>
      </w:r>
      <w:r w:rsidRPr="00DE01B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Nipponacmea </w:t>
      </w:r>
      <w:proofErr w:type="spellStart"/>
      <w:r w:rsidRPr="00DE01B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formosa</w:t>
      </w:r>
      <w:proofErr w:type="spellEnd"/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were characterized by integrating proteomic analysis of shell organic extracts with transcript sequences derived from mantle tissue. Transcriptomic and proteomic datasets are highly complementary; however, transcriptomes have proven more effective than proteomes in identifying transcripts encoding intrinsically disordered domains, such as repetitive low-complexity domain (RLCD)-containing proteins. Moreover, transcriptomic analyses have also highlighted signaling molecules and, notably, transmembrane transporters.</w:t>
      </w:r>
      <w:r>
        <w:rPr>
          <w:rFonts w:ascii="Times New Roman" w:hAnsi="Times New Roman" w:cs="Times New Roman" w:hint="eastAsia"/>
          <w:color w:val="000000"/>
          <w:kern w:val="0"/>
          <w:lang w:eastAsia="zh-CN"/>
          <w14:ligatures w14:val="none"/>
        </w:rPr>
        <w:t xml:space="preserve"> </w:t>
      </w:r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Through comparative analysis of transcriptomic and proteomic mass spectrometry data, we identified target genes encoding homologous proteins, including carbonic anhydrase and other SMPs, thereby providing new insights into </w:t>
      </w:r>
      <w:r w:rsidR="00AE516B">
        <w:rPr>
          <w:rFonts w:ascii="Times New Roman" w:hAnsi="Times New Roman" w:cs="Times New Roman" w:hint="eastAsia"/>
          <w:color w:val="000000"/>
          <w:kern w:val="0"/>
          <w:lang w:eastAsia="zh-CN"/>
          <w14:ligatures w14:val="none"/>
        </w:rPr>
        <w:t>SMP</w:t>
      </w:r>
      <w:r w:rsidRPr="00DE01B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evolution.</w:t>
      </w:r>
    </w:p>
    <w:p w14:paraId="38427876" w14:textId="2F9D4009" w:rsidR="00CA4C91" w:rsidRPr="00DE01B8" w:rsidRDefault="00CA4C91" w:rsidP="00DE01B8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eastAsia="zh-CN"/>
          <w14:ligatures w14:val="none"/>
        </w:rPr>
      </w:pPr>
      <w:r w:rsidRPr="00CA4C9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References</w:t>
      </w:r>
    </w:p>
    <w:sdt>
      <w:sdtPr>
        <w:rPr>
          <w:rFonts w:ascii="Times New Roman" w:hAnsi="Times New Roman" w:cs="Times New Roman" w:hint="eastAsia"/>
          <w:color w:val="000000"/>
          <w:sz w:val="21"/>
        </w:rPr>
        <w:tag w:val="MENDELEY_BIBLIOGRAPHY"/>
        <w:id w:val="-910534063"/>
        <w:placeholder>
          <w:docPart w:val="06F1EEF47B774407B7E2E9F58DB37CC3"/>
        </w:placeholder>
      </w:sdtPr>
      <w:sdtContent>
        <w:p w14:paraId="2E7065F6" w14:textId="5667EB3E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kern w:val="0"/>
              <w:sz w:val="21"/>
              <w14:ligatures w14:val="none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Clark MS, Peck LS, Arivalagan J, et al. Deciphering mollusc shell production: the roles of genetic mechanisms through to ecology, aquaculture and biomimetics.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Biological Reviews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2020;95(6):1812-1837. </w:t>
          </w:r>
        </w:p>
        <w:p w14:paraId="290457CC" w14:textId="6BB89D49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Chen S, Zhou Y, Chen Y, Gu J.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fastp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: an ultra-fast all-in-one FASTQ preprocessor.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Bioinformatics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2018;34(17</w:t>
          </w:r>
          <w:proofErr w:type="gramStart"/>
          <w:r w:rsidRPr="00263C4E">
            <w:rPr>
              <w:rFonts w:ascii="Times New Roman" w:hAnsi="Times New Roman" w:cs="Times New Roman"/>
              <w:color w:val="000000"/>
              <w:sz w:val="21"/>
            </w:rPr>
            <w:t>):i</w:t>
          </w:r>
          <w:proofErr w:type="gramEnd"/>
          <w:r w:rsidRPr="00263C4E">
            <w:rPr>
              <w:rFonts w:ascii="Times New Roman" w:hAnsi="Times New Roman" w:cs="Times New Roman"/>
              <w:color w:val="000000"/>
              <w:sz w:val="21"/>
            </w:rPr>
            <w:t>884-i890.</w:t>
          </w:r>
        </w:p>
        <w:p w14:paraId="26A90740" w14:textId="2476EBB6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Grabherr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MG, Haas BJ,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Yassour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M, et al. Full-length transcriptome assembly from RNA-Seq data without a reference genome.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Nat </w:t>
          </w:r>
          <w:proofErr w:type="spellStart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Biotechnol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>. 2011;29(7):644-652.</w:t>
          </w:r>
        </w:p>
        <w:p w14:paraId="3D87E96F" w14:textId="2E33DA93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4.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Amil-Ruiz F,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Herruzo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-Ruiz AM, Fuentes-Almagro C, et al. Constructing a de novo transcriptome and a reference proteome for the bivalve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Scrobicularia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plana: Comparative analysis of different assembly strategies and proteomic analysis.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Genomics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2021;113(3):1543-1553.</w:t>
          </w:r>
        </w:p>
        <w:p w14:paraId="2213103B" w14:textId="16550E4D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5.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Seppey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M, Manni M,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Zdobnov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EM. BUSCO: Assessing genome assembly and annotation completeness. In: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Methods in Molecular Biology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Vol 1962. Humana Press Inc.; 2019:227-245.</w:t>
          </w:r>
        </w:p>
        <w:p w14:paraId="50627728" w14:textId="5812573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6.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Buchfink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B, Xie C, Huson DH. Fast and sensitive protein alignment using DIAMOND.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Nat Methods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2015;12(1):59-60.</w:t>
          </w:r>
        </w:p>
        <w:p w14:paraId="6C821D8F" w14:textId="52A95DE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7.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Katoh K,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Standley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DM. MAFFT multiple sequence alignment software version 7: improvements in performance and usability.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Mol Biol Evol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2013;30(4):772-780.</w:t>
          </w:r>
        </w:p>
        <w:p w14:paraId="56B4E398" w14:textId="4684DCAF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8.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Criscuolo A,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Gribaldo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S. BMGE (Block Mapping and Gathering with Entropy): a new software for selection of phylogenetic informative regions from multiple sequence alignments.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BMC Evol Biol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2010;10(1). </w:t>
          </w:r>
        </w:p>
        <w:p w14:paraId="748C26BE" w14:textId="7212F705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9.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Minh BQ, Schmidt HA,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Chernomor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O, et al. IQ-TREE 2: New Models and Efficient Methods for Phylogenetic Inference in the Genomic Era.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Mol Biol Evol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2020;37(5):1530-1534.</w:t>
          </w:r>
        </w:p>
        <w:p w14:paraId="3FB72FC6" w14:textId="5C9B65AA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10.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Suzuki M, Saruwatari K, Kogure T, et al. An acidic matrix protein, Pif, is a key macromolecule for nacre formation.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Science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2009;325(5946):1388-1390.</w:t>
          </w:r>
        </w:p>
        <w:p w14:paraId="71B0965E" w14:textId="5098057F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lastRenderedPageBreak/>
            <w:t>11.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Suzuki M,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Iwashima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A, Kimura M, Kogure T, Nagasawa H. The Molecular Evolution of the Pif Family Proteins in Various Species of Mollusks.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Marine Biotechnology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2013;15(2):145-158.</w:t>
          </w:r>
        </w:p>
        <w:p w14:paraId="1E859361" w14:textId="6F0914B0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12.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Sly WS, Hu PY. Human carbonic anhydrases and carbonic anhydrase deficiencies.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Annu Rev </w:t>
          </w:r>
          <w:proofErr w:type="spellStart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Biochem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</w:t>
          </w:r>
          <w:proofErr w:type="gramStart"/>
          <w:r w:rsidRPr="00263C4E">
            <w:rPr>
              <w:rFonts w:ascii="Times New Roman" w:hAnsi="Times New Roman" w:cs="Times New Roman"/>
              <w:color w:val="000000"/>
              <w:sz w:val="21"/>
            </w:rPr>
            <w:t>1995;64:375</w:t>
          </w:r>
          <w:proofErr w:type="gramEnd"/>
          <w:r w:rsidRPr="00263C4E">
            <w:rPr>
              <w:rFonts w:ascii="Times New Roman" w:hAnsi="Times New Roman" w:cs="Times New Roman"/>
              <w:color w:val="000000"/>
              <w:sz w:val="21"/>
            </w:rPr>
            <w:t>-401.</w:t>
          </w:r>
        </w:p>
        <w:p w14:paraId="0573B434" w14:textId="1D7696FC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13.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DiMario RJ, Machingura MC, Waldrop GL, Moroney J V. The many types of carbonic anhydrases in photosynthetic organisms.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Plant Science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</w:t>
          </w:r>
          <w:proofErr w:type="gramStart"/>
          <w:r w:rsidRPr="00263C4E">
            <w:rPr>
              <w:rFonts w:ascii="Times New Roman" w:hAnsi="Times New Roman" w:cs="Times New Roman"/>
              <w:color w:val="000000"/>
              <w:sz w:val="21"/>
            </w:rPr>
            <w:t>2018;268:11</w:t>
          </w:r>
          <w:proofErr w:type="gramEnd"/>
          <w:r w:rsidRPr="00263C4E">
            <w:rPr>
              <w:rFonts w:ascii="Times New Roman" w:hAnsi="Times New Roman" w:cs="Times New Roman"/>
              <w:color w:val="000000"/>
              <w:sz w:val="21"/>
            </w:rPr>
            <w:t>-17.</w:t>
          </w:r>
        </w:p>
        <w:p w14:paraId="42D4D8B3" w14:textId="698AFF49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14.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Jensen EL, Clement R, Kosta A, Maberly SC,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Gontero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B. A new widespread subclass of carbonic anhydrase in marine phytoplankton.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ISME J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2019;13(8):2094-2106.</w:t>
          </w:r>
        </w:p>
        <w:p w14:paraId="7A8A3280" w14:textId="3BFD079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15.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Syrjänen L, Tolvanen M,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Hilvo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M, et al. Characterization of the first beta-class carbonic anhydrase from an arthropod (Drosophila melanogaster) and phylogenetic analysis of beta-class carbonic anhydrases in invertebrates.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BMC </w:t>
          </w:r>
          <w:proofErr w:type="spellStart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Biochem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>. 2010;11(1).</w:t>
          </w:r>
        </w:p>
        <w:p w14:paraId="22C052C9" w14:textId="7519A07E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16.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Aspatwar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A, Tolvanen MEE, Barker H, et al. Carbonic anhydrases in metazoan model organisms: molecules, mechanisms, and physiology.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https://doi.org/101152/physrev000182021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2022;102(3):1327-1383. </w:t>
          </w:r>
        </w:p>
        <w:p w14:paraId="4734AD47" w14:textId="732F0425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17.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Huang J, Li L, Jiang T, Xie L, Zhang R. Mantle tissue in the pearl oyster Pinctada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fucata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secretes immune components via vesicle transportation.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Fish Shellfish Immunol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</w:t>
          </w:r>
          <w:proofErr w:type="gramStart"/>
          <w:r w:rsidRPr="00263C4E">
            <w:rPr>
              <w:rFonts w:ascii="Times New Roman" w:hAnsi="Times New Roman" w:cs="Times New Roman"/>
              <w:color w:val="000000"/>
              <w:sz w:val="21"/>
            </w:rPr>
            <w:t>2022;121:116</w:t>
          </w:r>
          <w:proofErr w:type="gram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-123. </w:t>
          </w:r>
        </w:p>
        <w:p w14:paraId="4AE868D7" w14:textId="53B2AB11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18.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Yanagawa K, Yoshimori T. Rubicon regulates exosome secretion via the non-autophagic pathway.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2025;21(5):1160-1162.</w:t>
          </w:r>
        </w:p>
        <w:p w14:paraId="510AD719" w14:textId="08598B50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19.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Yanagawa K, Kuma A, Hamasaki M, et al. The Rubicon-WIPI axis regulates exosome biogenesis during ageing.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Nat Cell Biol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2024;26(9):1558-1570.</w:t>
          </w:r>
        </w:p>
        <w:p w14:paraId="27EAAF81" w14:textId="6E423142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20.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Hu Y, Zhang R, Chen G. Exosome and Secretion: Action On?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Adv Exp Med Biol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</w:t>
          </w:r>
          <w:proofErr w:type="gramStart"/>
          <w:r w:rsidRPr="00263C4E">
            <w:rPr>
              <w:rFonts w:ascii="Times New Roman" w:hAnsi="Times New Roman" w:cs="Times New Roman"/>
              <w:color w:val="000000"/>
              <w:sz w:val="21"/>
            </w:rPr>
            <w:t>2020;1248:455</w:t>
          </w:r>
          <w:proofErr w:type="gram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-483. </w:t>
          </w:r>
        </w:p>
        <w:p w14:paraId="715B9E09" w14:textId="572E45C9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21.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Shapiro IM, Risbud M V., Tang T, Landis WJ. Skeletal and dental tissue mineralization: The potential role of the endoplasmic reticulum/Golgi complex and the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endolysosomal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and autophagic transport systems.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Bone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</w:t>
          </w:r>
          <w:proofErr w:type="gramStart"/>
          <w:r w:rsidRPr="00263C4E">
            <w:rPr>
              <w:rFonts w:ascii="Times New Roman" w:hAnsi="Times New Roman" w:cs="Times New Roman"/>
              <w:color w:val="000000"/>
              <w:sz w:val="21"/>
            </w:rPr>
            <w:t>2025;193:117390</w:t>
          </w:r>
          <w:proofErr w:type="gramEnd"/>
          <w:r w:rsidRPr="00263C4E">
            <w:rPr>
              <w:rFonts w:ascii="Times New Roman" w:hAnsi="Times New Roman" w:cs="Times New Roman"/>
              <w:color w:val="000000"/>
              <w:sz w:val="21"/>
            </w:rPr>
            <w:t>.</w:t>
          </w:r>
        </w:p>
        <w:p w14:paraId="62CAA59F" w14:textId="25380DE8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22.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Picot S,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Faury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N,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Arzul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I, Chollet B, Renault T, Morga B. Identification of the autophagy pathway in a mollusk bivalve, Crassostrea gigas.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2020;16(11):2017-2035.</w:t>
          </w:r>
        </w:p>
        <w:p w14:paraId="1340A366" w14:textId="727A479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23.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Cheng XT, Xie YX, Zhou B, Huang N, Farfel-Becker T, Sheng ZH. Revisiting LAMP1 as a marker for degradative autophagy-lysosomal organelles in the nervous system.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2018;14(8):1472-1474. </w:t>
          </w:r>
        </w:p>
        <w:p w14:paraId="31C94357" w14:textId="581A0CB4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24.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Chaudhry N, Sica M, Surabhi S, et al. Lamp1 mediates lipid transport, but is dispensable for autophagy in Drosophila.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2022;18(10):2443-2458.</w:t>
          </w:r>
        </w:p>
        <w:p w14:paraId="11293ECB" w14:textId="3E7C2D1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25.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Angel NZ, Walsh N, Forwood MR, Ostrowski MC, Cassady AI, Hume DA. Transgenic mice overexpressing tartrate-resistant acid phosphatase exhibit an increased rate of bone turnover.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J Bone Miner Res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2000;15(1):103-110.</w:t>
          </w:r>
        </w:p>
        <w:p w14:paraId="765AB195" w14:textId="3F4D5704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26.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Dermatology YHSA of, 1999 undefined. The pigmentary system: Physiology and pathophysiology.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jamanetwork.com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1999;135(4):478.</w:t>
          </w:r>
        </w:p>
        <w:p w14:paraId="105B980B" w14:textId="22ADF42E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27.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research WOP cell, 2000 undefined. The tyrosinase gene and oculocutaneous albinism type 1 (OCA1): a model for understanding the molecular biology of melanin formation.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Wiley Online </w:t>
          </w:r>
          <w:proofErr w:type="spellStart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LibraryWS</w:t>
          </w:r>
          <w:proofErr w:type="spellEnd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 </w:t>
          </w:r>
          <w:proofErr w:type="spellStart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OettingPigment</w:t>
          </w:r>
          <w:proofErr w:type="spellEnd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 cell research, 2000•Wiley Online Library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2000;13(5):320-325.</w:t>
          </w:r>
        </w:p>
        <w:p w14:paraId="24E49BAA" w14:textId="067D55A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28.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Yu L, Chen Y, Tooze SA. Autophagy pathway: Cellular and molecular mechanisms.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2018;14(2):207-215.</w:t>
          </w:r>
        </w:p>
        <w:p w14:paraId="71348F0A" w14:textId="114C2324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29.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Singh R, Cuervo AM. Autophagy in the Cellular Energetic Balance.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 xml:space="preserve">Cell </w:t>
          </w:r>
          <w:proofErr w:type="spellStart"/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Metab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2011;13(5):495-504. </w:t>
          </w:r>
        </w:p>
        <w:p w14:paraId="08605B03" w14:textId="30ECE163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30.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Moreau P, Moreau K, Segarra A, et al. Autophagy plays an important role in protecting Pacific oysters from OsHV-1 and Vibrio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aestuarianus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infections.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2015;11(3):516-526. </w:t>
          </w:r>
        </w:p>
        <w:p w14:paraId="7390369D" w14:textId="0A8F6D7B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31.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Wang J, Zhang Y, Cao J, et al. The role of autophagy in bone metabolism and clinical significance.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2023;19(9):2409-2427.</w:t>
          </w:r>
        </w:p>
        <w:p w14:paraId="7E8C0B89" w14:textId="3B67CB58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32.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Yin X, Zhou C, Li J, et al. Autophagy in bone homeostasis and the onset of osteoporosis.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Bone Res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. 2019;7(1). </w:t>
          </w:r>
        </w:p>
        <w:p w14:paraId="5DA37330" w14:textId="17F0C9A2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33.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Shapiro IM, Layfield R, Lotz M, Settembre C, Whitehouse C. Boning up on autophagy: the role of autophagy in skeletal biology.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Autophagy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2014;10(1):7-19.</w:t>
          </w:r>
        </w:p>
        <w:p w14:paraId="6286F258" w14:textId="009A9734" w:rsidR="00F70DB2" w:rsidRPr="00263C4E" w:rsidRDefault="00F70DB2" w:rsidP="00DE01B8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34.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Nollet M, Santucci-Darmanin S, </w:t>
          </w:r>
          <w:proofErr w:type="spellStart"/>
          <w:r w:rsidRPr="00263C4E">
            <w:rPr>
              <w:rFonts w:ascii="Times New Roman" w:hAnsi="Times New Roman" w:cs="Times New Roman"/>
              <w:color w:val="000000"/>
              <w:sz w:val="21"/>
            </w:rPr>
            <w:t>Breuil</w:t>
          </w:r>
          <w:proofErr w:type="spellEnd"/>
          <w:r w:rsidRPr="00263C4E">
            <w:rPr>
              <w:rFonts w:ascii="Times New Roman" w:hAnsi="Times New Roman" w:cs="Times New Roman"/>
              <w:color w:val="000000"/>
              <w:sz w:val="21"/>
            </w:rPr>
            <w:t xml:space="preserve"> V, et al. Autophagy in osteoblasts is involved in mineralization and bone homeostasis. Published online 2014.</w:t>
          </w:r>
        </w:p>
        <w:p w14:paraId="49FFD341" w14:textId="1A1B02D8" w:rsidR="00572C28" w:rsidRPr="00CC7E03" w:rsidRDefault="00F70DB2" w:rsidP="00CC7E03">
          <w:pPr>
            <w:autoSpaceDE w:val="0"/>
            <w:autoSpaceDN w:val="0"/>
            <w:spacing w:after="0" w:line="240" w:lineRule="auto"/>
            <w:ind w:left="714" w:hanging="357"/>
            <w:jc w:val="both"/>
            <w:rPr>
              <w:rFonts w:ascii="Times New Roman" w:hAnsi="Times New Roman" w:cs="Times New Roman" w:hint="eastAsia"/>
              <w:color w:val="000000"/>
              <w:sz w:val="21"/>
            </w:rPr>
          </w:pPr>
          <w:r w:rsidRPr="00263C4E">
            <w:rPr>
              <w:rFonts w:ascii="Times New Roman" w:hAnsi="Times New Roman" w:cs="Times New Roman"/>
              <w:color w:val="000000"/>
              <w:sz w:val="21"/>
            </w:rPr>
            <w:t>35.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ab/>
            <w:t xml:space="preserve">Yan J, Shen M, Sui B, et al. Autophagic LC3+ calcified extracellular vesicles initiate cartilage calcification in osteoarthritis. </w:t>
          </w:r>
          <w:r w:rsidRPr="00263C4E">
            <w:rPr>
              <w:rFonts w:ascii="Times New Roman" w:hAnsi="Times New Roman" w:cs="Times New Roman"/>
              <w:i/>
              <w:iCs/>
              <w:color w:val="000000"/>
              <w:sz w:val="21"/>
            </w:rPr>
            <w:t>Sci Adv</w:t>
          </w:r>
          <w:r w:rsidRPr="00263C4E">
            <w:rPr>
              <w:rFonts w:ascii="Times New Roman" w:hAnsi="Times New Roman" w:cs="Times New Roman"/>
              <w:color w:val="000000"/>
              <w:sz w:val="21"/>
            </w:rPr>
            <w:t>. 2022;8(19).</w:t>
          </w:r>
        </w:p>
      </w:sdtContent>
    </w:sdt>
    <w:sectPr w:rsidR="00572C28" w:rsidRPr="00CC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C2FF" w14:textId="77777777" w:rsidR="00DD5EDF" w:rsidRDefault="00DD5EDF" w:rsidP="003B1BC1">
      <w:pPr>
        <w:spacing w:after="0" w:line="240" w:lineRule="auto"/>
      </w:pPr>
      <w:r>
        <w:separator/>
      </w:r>
    </w:p>
  </w:endnote>
  <w:endnote w:type="continuationSeparator" w:id="0">
    <w:p w14:paraId="61693D23" w14:textId="77777777" w:rsidR="00DD5EDF" w:rsidRDefault="00DD5EDF" w:rsidP="003B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AA44" w14:textId="77777777" w:rsidR="00DD5EDF" w:rsidRDefault="00DD5EDF" w:rsidP="003B1BC1">
      <w:pPr>
        <w:spacing w:after="0" w:line="240" w:lineRule="auto"/>
      </w:pPr>
      <w:r>
        <w:separator/>
      </w:r>
    </w:p>
  </w:footnote>
  <w:footnote w:type="continuationSeparator" w:id="0">
    <w:p w14:paraId="0208B8EB" w14:textId="77777777" w:rsidR="00DD5EDF" w:rsidRDefault="00DD5EDF" w:rsidP="003B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101A"/>
    <w:multiLevelType w:val="hybridMultilevel"/>
    <w:tmpl w:val="D56293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305581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06DD5"/>
    <w:multiLevelType w:val="multilevel"/>
    <w:tmpl w:val="C1FA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E42B9"/>
    <w:multiLevelType w:val="hybridMultilevel"/>
    <w:tmpl w:val="EBC8F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BC7975"/>
    <w:multiLevelType w:val="multilevel"/>
    <w:tmpl w:val="7AA4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85F67"/>
    <w:multiLevelType w:val="hybridMultilevel"/>
    <w:tmpl w:val="5C3AB1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57050D"/>
    <w:multiLevelType w:val="multilevel"/>
    <w:tmpl w:val="B4ACA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371DE"/>
    <w:multiLevelType w:val="multilevel"/>
    <w:tmpl w:val="1D5A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B33E7"/>
    <w:multiLevelType w:val="hybridMultilevel"/>
    <w:tmpl w:val="C4BE5F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DA6B1A"/>
    <w:multiLevelType w:val="multilevel"/>
    <w:tmpl w:val="18E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4129D"/>
    <w:multiLevelType w:val="multilevel"/>
    <w:tmpl w:val="81D8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418890">
    <w:abstractNumId w:val="2"/>
  </w:num>
  <w:num w:numId="2" w16cid:durableId="1394767464">
    <w:abstractNumId w:val="9"/>
  </w:num>
  <w:num w:numId="3" w16cid:durableId="1960649730">
    <w:abstractNumId w:val="10"/>
  </w:num>
  <w:num w:numId="4" w16cid:durableId="88963319">
    <w:abstractNumId w:val="4"/>
  </w:num>
  <w:num w:numId="5" w16cid:durableId="2018188148">
    <w:abstractNumId w:val="6"/>
  </w:num>
  <w:num w:numId="6" w16cid:durableId="1706102819">
    <w:abstractNumId w:val="7"/>
  </w:num>
  <w:num w:numId="7" w16cid:durableId="1022701851">
    <w:abstractNumId w:val="3"/>
  </w:num>
  <w:num w:numId="8" w16cid:durableId="1927108439">
    <w:abstractNumId w:val="8"/>
  </w:num>
  <w:num w:numId="9" w16cid:durableId="577832403">
    <w:abstractNumId w:val="5"/>
  </w:num>
  <w:num w:numId="10" w16cid:durableId="1779711700">
    <w:abstractNumId w:val="0"/>
  </w:num>
  <w:num w:numId="11" w16cid:durableId="2387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91"/>
    <w:rsid w:val="001603FF"/>
    <w:rsid w:val="00182BB6"/>
    <w:rsid w:val="0025034A"/>
    <w:rsid w:val="003B1BC1"/>
    <w:rsid w:val="003C12C6"/>
    <w:rsid w:val="00410F8E"/>
    <w:rsid w:val="0055708B"/>
    <w:rsid w:val="00572C28"/>
    <w:rsid w:val="005779F7"/>
    <w:rsid w:val="00592798"/>
    <w:rsid w:val="006010BF"/>
    <w:rsid w:val="00861A94"/>
    <w:rsid w:val="009C011C"/>
    <w:rsid w:val="009E1280"/>
    <w:rsid w:val="009F300E"/>
    <w:rsid w:val="00AE516B"/>
    <w:rsid w:val="00BA4913"/>
    <w:rsid w:val="00BA5B2D"/>
    <w:rsid w:val="00BC012D"/>
    <w:rsid w:val="00C85741"/>
    <w:rsid w:val="00CA4C91"/>
    <w:rsid w:val="00CC7E03"/>
    <w:rsid w:val="00DD5EDF"/>
    <w:rsid w:val="00DE01B8"/>
    <w:rsid w:val="00F30983"/>
    <w:rsid w:val="00F70DB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C8E7C"/>
  <w15:chartTrackingRefBased/>
  <w15:docId w15:val="{E98C87B6-3B53-6542-BE0E-B45C7F2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A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A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4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A4C91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4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A4C91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A4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C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C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4C91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CA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CA4C91"/>
    <w:rPr>
      <w:b/>
      <w:bCs/>
    </w:rPr>
  </w:style>
  <w:style w:type="character" w:customStyle="1" w:styleId="apple-converted-space">
    <w:name w:val="apple-converted-space"/>
    <w:basedOn w:val="a0"/>
    <w:rsid w:val="00CA4C91"/>
  </w:style>
  <w:style w:type="character" w:styleId="af0">
    <w:name w:val="Hyperlink"/>
    <w:basedOn w:val="a0"/>
    <w:uiPriority w:val="99"/>
    <w:semiHidden/>
    <w:unhideWhenUsed/>
    <w:rsid w:val="00CA4C91"/>
    <w:rPr>
      <w:color w:val="0000FF"/>
      <w:u w:val="single"/>
    </w:rPr>
  </w:style>
  <w:style w:type="character" w:styleId="af1">
    <w:name w:val="Emphasis"/>
    <w:basedOn w:val="a0"/>
    <w:uiPriority w:val="20"/>
    <w:qFormat/>
    <w:rsid w:val="00CA4C91"/>
    <w:rPr>
      <w:i/>
      <w:iCs/>
    </w:rPr>
  </w:style>
  <w:style w:type="paragraph" w:styleId="af2">
    <w:name w:val="header"/>
    <w:basedOn w:val="a"/>
    <w:link w:val="af3"/>
    <w:uiPriority w:val="99"/>
    <w:unhideWhenUsed/>
    <w:rsid w:val="003B1B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B1BC1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3B1B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B1B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1EEF47B774407B7E2E9F58DB37C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2DB758-0E2E-4C77-9CF5-B1D866A7170F}"/>
      </w:docPartPr>
      <w:docPartBody>
        <w:p w:rsidR="00B3028A" w:rsidRDefault="00EF11EA" w:rsidP="00EF11EA">
          <w:pPr>
            <w:pStyle w:val="06F1EEF47B774407B7E2E9F58DB37CC3"/>
            <w:rPr>
              <w:rFonts w:hint="eastAsia"/>
            </w:rPr>
          </w:pPr>
          <w:r w:rsidRPr="0056106B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A"/>
    <w:rsid w:val="0025034A"/>
    <w:rsid w:val="00396B15"/>
    <w:rsid w:val="00737344"/>
    <w:rsid w:val="00861A94"/>
    <w:rsid w:val="00B3028A"/>
    <w:rsid w:val="00BC7E32"/>
    <w:rsid w:val="00E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1EA"/>
    <w:rPr>
      <w:color w:val="666666"/>
    </w:rPr>
  </w:style>
  <w:style w:type="paragraph" w:customStyle="1" w:styleId="06F1EEF47B774407B7E2E9F58DB37CC3">
    <w:name w:val="06F1EEF47B774407B7E2E9F58DB37CC3"/>
    <w:rsid w:val="00EF11E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2A42D9D-1982-49BF-86C6-FD8D591E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1100</Words>
  <Characters>6645</Characters>
  <Application>Microsoft Office Word</Application>
  <DocSecurity>0</DocSecurity>
  <Lines>127</Lines>
  <Paragraphs>62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Bozdaganyan</dc:creator>
  <cp:keywords/>
  <dc:description/>
  <cp:lastModifiedBy>dongfang li</cp:lastModifiedBy>
  <cp:revision>15</cp:revision>
  <dcterms:created xsi:type="dcterms:W3CDTF">2026-04-06T15:55:00Z</dcterms:created>
  <dcterms:modified xsi:type="dcterms:W3CDTF">2026-04-07T12:59:00Z</dcterms:modified>
</cp:coreProperties>
</file>