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26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397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sz w:val="24"/>
          <w:szCs w:val="24"/>
          <w:lang w:val="ru-RU"/>
        </w:rPr>
      </w:pPr>
      <w:bookmarkStart w:id="0" w:name="_GoBack"/>
      <w:r>
        <w:rPr>
          <w:rFonts w:hint="default" w:ascii="Times New Roman" w:hAnsi="Times New Roman" w:eastAsia="微软雅黑" w:cs="Times New Roman"/>
          <w:b/>
          <w:bCs/>
          <w:sz w:val="24"/>
          <w:szCs w:val="24"/>
          <w:lang w:val="ru-RU"/>
        </w:rPr>
        <w:t>Анализ системы гарантии в играх с гача-механикой</w:t>
      </w:r>
    </w:p>
    <w:bookmarkEnd w:id="0"/>
    <w:p w14:paraId="51EAF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微软雅黑" w:cs="Times New Roman"/>
          <w:b/>
          <w:bCs/>
          <w:i/>
          <w:iCs/>
          <w:sz w:val="24"/>
          <w:szCs w:val="24"/>
          <w:lang w:val="ru-RU"/>
        </w:rPr>
        <w:t>Ляо Сыя</w:t>
      </w:r>
    </w:p>
    <w:p w14:paraId="36470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hint="default" w:ascii="Times New Roman" w:hAnsi="Times New Roman" w:eastAsia="微软雅黑" w:cs="Times New Roman"/>
          <w:i/>
          <w:iCs/>
          <w:color w:val="auto"/>
          <w:sz w:val="24"/>
          <w:szCs w:val="24"/>
          <w:lang w:val="ru-RU" w:eastAsia="zh-CN"/>
          <w14:ligatures w14:val="none"/>
        </w:rPr>
      </w:pPr>
      <w:r>
        <w:rPr>
          <w:rFonts w:hint="default" w:ascii="Times New Roman" w:hAnsi="Times New Roman" w:eastAsia="微软雅黑" w:cs="Times New Roman"/>
          <w:i/>
          <w:iCs/>
          <w:color w:val="auto"/>
          <w:sz w:val="24"/>
          <w:szCs w:val="24"/>
          <w:lang w:val="ru-RU"/>
          <w14:ligatures w14:val="none"/>
        </w:rPr>
        <w:t>Бакалавр</w:t>
      </w:r>
      <w:r>
        <w:rPr>
          <w:rFonts w:hint="eastAsia" w:ascii="Times New Roman" w:hAnsi="Times New Roman" w:eastAsia="微软雅黑" w:cs="Times New Roman"/>
          <w:i/>
          <w:iCs/>
          <w:color w:val="auto"/>
          <w:sz w:val="24"/>
          <w:szCs w:val="24"/>
          <w:lang w:val="en-US" w:eastAsia="zh-CN"/>
          <w14:ligatures w14:val="none"/>
        </w:rPr>
        <w:t xml:space="preserve">, </w:t>
      </w:r>
      <w:r>
        <w:rPr>
          <w:rFonts w:hint="default" w:ascii="Times New Roman" w:hAnsi="Times New Roman" w:eastAsia="微软雅黑" w:cs="Times New Roman"/>
          <w:i/>
          <w:iCs/>
          <w:color w:val="auto"/>
          <w:sz w:val="24"/>
          <w:szCs w:val="24"/>
          <w:lang w:val="ru-RU" w:eastAsia="zh-CN"/>
          <w14:ligatures w14:val="none"/>
        </w:rPr>
        <w:t>1 курс</w:t>
      </w:r>
    </w:p>
    <w:p w14:paraId="1E373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i/>
          <w:iCs/>
          <w:color w:val="auto"/>
          <w:kern w:val="0"/>
          <w:sz w:val="24"/>
          <w:szCs w:val="24"/>
          <w:lang w:val="ru-RU"/>
          <w14:ligatures w14:val="none"/>
        </w:rPr>
      </w:pPr>
      <w:r>
        <w:rPr>
          <w:rFonts w:hint="default" w:ascii="Times New Roman" w:hAnsi="Times New Roman" w:eastAsia="微软雅黑" w:cs="Times New Roman"/>
          <w:i/>
          <w:iCs/>
          <w:color w:val="auto"/>
          <w:sz w:val="24"/>
          <w:szCs w:val="24"/>
          <w:lang w:val="ru-RU"/>
          <w14:ligatures w14:val="none"/>
        </w:rPr>
        <w:t>Университет МГУ-ППИ в Шэньчжэне</w:t>
      </w:r>
      <w:r>
        <w:rPr>
          <w:rFonts w:hint="default" w:ascii="Times New Roman" w:hAnsi="Times New Roman" w:eastAsia="Times New Roman" w:cs="Times New Roman"/>
          <w:i/>
          <w:iCs/>
          <w:color w:val="auto"/>
          <w:kern w:val="0"/>
          <w:sz w:val="24"/>
          <w:szCs w:val="24"/>
          <w:lang w:val="ru-RU"/>
          <w14:ligatures w14:val="none"/>
        </w:rPr>
        <w:t xml:space="preserve">, </w:t>
      </w:r>
    </w:p>
    <w:p w14:paraId="70F16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i/>
          <w:iCs/>
          <w:color w:val="auto"/>
          <w:kern w:val="0"/>
          <w:sz w:val="24"/>
          <w:szCs w:val="24"/>
          <w:lang w:val="ru-RU"/>
          <w14:ligatures w14:val="none"/>
        </w:rPr>
      </w:pPr>
      <w:r>
        <w:rPr>
          <w:rFonts w:hint="default" w:ascii="Times New Roman" w:hAnsi="Times New Roman" w:eastAsia="微软雅黑" w:cs="Times New Roman"/>
          <w:i/>
          <w:iCs/>
          <w:color w:val="auto"/>
          <w:sz w:val="24"/>
          <w:szCs w:val="24"/>
          <w:lang w:val="ru-RU"/>
          <w14:ligatures w14:val="none"/>
        </w:rPr>
        <w:t>факультет вычислительной математики и кибернетики</w:t>
      </w:r>
      <w:r>
        <w:rPr>
          <w:rFonts w:hint="default" w:ascii="Times New Roman" w:hAnsi="Times New Roman" w:eastAsia="Times New Roman" w:cs="Times New Roman"/>
          <w:i/>
          <w:iCs/>
          <w:color w:val="auto"/>
          <w:kern w:val="0"/>
          <w:sz w:val="24"/>
          <w:szCs w:val="24"/>
          <w:lang w:val="ru-RU"/>
          <w14:ligatures w14:val="none"/>
        </w:rPr>
        <w:t xml:space="preserve">, </w:t>
      </w:r>
    </w:p>
    <w:p w14:paraId="60D54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hint="default" w:ascii="Times New Roman" w:hAnsi="Times New Roman" w:eastAsia="微软雅黑" w:cs="Times New Roman"/>
          <w:i/>
          <w:iCs/>
          <w:color w:val="auto"/>
          <w:sz w:val="24"/>
          <w:szCs w:val="24"/>
          <w:lang w:val="ru-RU"/>
          <w14:ligatures w14:val="none"/>
        </w:rPr>
      </w:pPr>
      <w:r>
        <w:rPr>
          <w:rFonts w:hint="default" w:ascii="Times New Roman" w:hAnsi="Times New Roman" w:eastAsia="微软雅黑" w:cs="Times New Roman"/>
          <w:i/>
          <w:iCs/>
          <w:color w:val="auto"/>
          <w:sz w:val="24"/>
          <w:szCs w:val="24"/>
          <w:lang w:val="ru-RU"/>
          <w14:ligatures w14:val="none"/>
        </w:rPr>
        <w:t>Шэньчжэнь, Китай</w:t>
      </w:r>
    </w:p>
    <w:p w14:paraId="53221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397"/>
        <w:jc w:val="center"/>
        <w:textAlignment w:val="auto"/>
        <w:rPr>
          <w:rFonts w:hint="default" w:ascii="Times New Roman" w:hAnsi="Times New Roman" w:eastAsia="微软雅黑" w:cs="Times New Roman"/>
          <w:i/>
          <w:iCs/>
          <w:color w:val="auto"/>
          <w:sz w:val="24"/>
          <w:szCs w:val="24"/>
          <w:lang w:val="en-US" w:eastAsia="zh-CN"/>
          <w14:ligatures w14:val="none"/>
        </w:rPr>
      </w:pPr>
      <w:r>
        <w:rPr>
          <w:rFonts w:hint="default" w:ascii="Times New Roman" w:hAnsi="Times New Roman" w:eastAsia="微软雅黑" w:cs="Times New Roman"/>
          <w:i/>
          <w:iCs/>
          <w:color w:val="auto"/>
          <w:sz w:val="24"/>
          <w:szCs w:val="24"/>
          <w:lang w:val="ru-RU"/>
          <w14:ligatures w14:val="none"/>
        </w:rPr>
        <w:t>Е-mail:1120250060</w:t>
      </w:r>
      <w:r>
        <w:rPr>
          <w:rFonts w:hint="default" w:ascii="Times New Roman" w:hAnsi="Times New Roman" w:eastAsia="微软雅黑" w:cs="Times New Roman"/>
          <w:i/>
          <w:iCs/>
          <w:color w:val="auto"/>
          <w:sz w:val="24"/>
          <w:szCs w:val="24"/>
          <w:lang w:val="en-US" w:eastAsia="zh-CN"/>
          <w14:ligatures w14:val="none"/>
        </w:rPr>
        <w:t>@smbu.edu.cn</w:t>
      </w:r>
    </w:p>
    <w:p w14:paraId="6800B4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eastAsia" w:ascii="Times New Roman" w:hAnsi="Times New Roman" w:eastAsia="微软雅黑" w:cs="Times New Roman"/>
          <w:sz w:val="24"/>
          <w:lang w:val="en-US" w:eastAsia="zh-CN"/>
          <w14:ligatures w14:val="none"/>
        </w:rPr>
      </w:pPr>
      <w:r>
        <w:rPr>
          <w:rFonts w:hint="default" w:ascii="Times New Roman" w:hAnsi="Times New Roman" w:eastAsia="微软雅黑" w:cs="Times New Roman"/>
          <w:sz w:val="24"/>
          <w:lang w:val="ru-RU"/>
          <w14:ligatures w14:val="none"/>
        </w:rPr>
        <w:t xml:space="preserve">Гача-игры стали основной моделью заработка в современных мобильных играх. Почти все они публикуют так называемую «общую вероятность», например «шанс выпадения SSR 1.6%». </w:t>
      </w:r>
      <w:r>
        <w:rPr>
          <w:rFonts w:hint="eastAsia" w:ascii="Times New Roman" w:hAnsi="Times New Roman" w:eastAsia="微软雅黑" w:cs="Times New Roman"/>
          <w:sz w:val="24"/>
          <w:lang w:val="en-US" w:eastAsia="zh-CN"/>
          <w14:ligatures w14:val="none"/>
        </w:rPr>
        <w:t xml:space="preserve">[1,3] </w:t>
      </w:r>
      <w:r>
        <w:rPr>
          <w:rFonts w:hint="default" w:ascii="Times New Roman" w:hAnsi="Times New Roman" w:eastAsia="微软雅黑" w:cs="Times New Roman"/>
          <w:sz w:val="24"/>
          <w:lang w:val="ru-RU"/>
          <w14:ligatures w14:val="none"/>
        </w:rPr>
        <w:t>В докладе мы рассмотрим формат гача игр и математическое принципы их организации. Мы также рассмотрим механики уменьшения негативного опыта игроков.</w:t>
      </w:r>
      <w:r>
        <w:rPr>
          <w:rFonts w:hint="eastAsia" w:ascii="Times New Roman" w:hAnsi="Times New Roman" w:eastAsia="微软雅黑" w:cs="Times New Roman"/>
          <w:sz w:val="24"/>
          <w:lang w:val="en-US" w:eastAsia="zh-CN"/>
          <w14:ligatures w14:val="none"/>
        </w:rPr>
        <w:t xml:space="preserve"> </w:t>
      </w:r>
    </w:p>
    <w:p w14:paraId="405F0DC9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397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В таких играх игрок платит за получение случайного виртуального предмета. В полностью случайной системе с базовой вероятностью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</w:t>
      </w:r>
      <m:oMath>
        <m:r>
          <m:rPr/>
          <w:rPr>
            <w:rFonts w:hint="default" w:ascii="Cambria Math" w:hAnsi="Cambria Math" w:eastAsia="Segoe UI"/>
            <w:sz w:val="24"/>
          </w:rPr>
          <m:t>p</m:t>
        </m:r>
      </m:oMath>
      <w:r>
        <w:rPr>
          <w:rFonts w:hint="eastAsia" w:hAnsi="Cambria Math" w:eastAsia="宋体"/>
          <w:i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вероятность не получить желаемый предмет за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</w:t>
      </w:r>
      <m:oMath>
        <m:r>
          <m:rPr/>
          <w:rPr>
            <w:rFonts w:hint="default" w:ascii="Cambria Math" w:hAnsi="Cambria Math" w:eastAsia="Segoe UI" w:cs="Times New Roman"/>
            <w:caps w:val="0"/>
            <w:color w:val="0F1115"/>
            <w:spacing w:val="0"/>
            <w:kern w:val="2"/>
            <w:sz w:val="24"/>
            <w:szCs w:val="24"/>
            <w:shd w:val="clear" w:fill="FFFFFF"/>
            <w:lang w:val="en-US" w:eastAsia="zh-CN" w:bidi="ar-SA"/>
          </w:rPr>
          <m:t>N</m:t>
        </m:r>
      </m:oMath>
      <w:r>
        <w:rPr>
          <w:rFonts w:hint="eastAsia" w:hAnsi="Cambria Math" w:eastAsia="Segoe UI" w:cs="Times New Roman"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попыток составляет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</w:t>
      </w:r>
      <m:oMath>
        <m:r>
          <m:rPr/>
          <w:rPr>
            <w:rFonts w:hint="default" w:ascii="Cambria Math" w:hAnsi="Cambria Math" w:eastAsia="Segoe UI"/>
            <w:sz w:val="24"/>
          </w:rPr>
          <m:t>(1−p</m:t>
        </m:r>
        <m:sSup>
          <m:sSupPr>
            <m:ctrlPr>
              <w:rPr>
                <w:rFonts w:hint="default" w:ascii="Cambria Math" w:hAnsi="Cambria Math" w:eastAsia="Segoe UI"/>
                <w:sz w:val="24"/>
              </w:rPr>
            </m:ctrlPr>
          </m:sSupPr>
          <m:e>
            <m:r>
              <m:rPr/>
              <w:rPr>
                <w:rFonts w:hint="default" w:ascii="Cambria Math" w:hAnsi="Cambria Math" w:eastAsia="Segoe UI"/>
                <w:sz w:val="24"/>
              </w:rPr>
              <m:t>)</m:t>
            </m:r>
            <m:ctrlPr>
              <w:rPr>
                <w:rFonts w:ascii="Cambria Math" w:hAnsi="Cambria Math" w:eastAsia="Segoe UI"/>
                <w:sz w:val="24"/>
              </w:rPr>
            </m:ctrlPr>
          </m:e>
          <m:sup>
            <m:r>
              <m:rPr/>
              <w:rPr>
                <w:rFonts w:hint="default" w:ascii="Cambria Math" w:hAnsi="Cambria Math" w:eastAsia="Segoe UI"/>
                <w:sz w:val="24"/>
              </w:rPr>
              <m:t>N</m:t>
            </m:r>
            <m:ctrlPr>
              <w:rPr>
                <w:rFonts w:ascii="Cambria Math" w:hAnsi="Cambria Math" w:eastAsia="Segoe UI"/>
                <w:sz w:val="24"/>
              </w:rPr>
            </m:ctrlPr>
          </m:sup>
        </m:sSup>
      </m:oMath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 При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</w:t>
      </w:r>
      <m:oMath>
        <m:r>
          <m:rPr/>
          <w:rPr>
            <w:rFonts w:hint="default" w:ascii="Cambria Math" w:hAnsi="Cambria Math" w:eastAsia="Segoe UI" w:cs="Times New Roman"/>
            <w:caps w:val="0"/>
            <w:color w:val="0F1115"/>
            <w:spacing w:val="0"/>
            <w:kern w:val="2"/>
            <w:sz w:val="24"/>
            <w:szCs w:val="24"/>
            <w:shd w:val="clear" w:fill="FFFFFF"/>
            <w:lang w:val="en-US" w:eastAsia="zh-CN" w:bidi="ar-SA"/>
          </w:rPr>
          <m:t>P=1%</m:t>
        </m:r>
      </m:oMath>
      <w:r>
        <w:rPr>
          <w:rFonts w:hint="eastAsia" w:hAnsi="Cambria Math" w:eastAsia="Segoe UI" w:cs="Times New Roman"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вероятность неудачи за 100 попыток достигает 36,6%, что способствует оттоку игроков.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[5]</w:t>
      </w:r>
    </w:p>
    <w:p w14:paraId="5C3137B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397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«Жёсткий гарант» устанавливает абсолютный предел — например, получение персонажа гарантировано на 90-й попытке. Математически это повышает «совокупную вероятность» до </w:t>
      </w:r>
      <m:oMath>
        <m:r>
          <m:rPr/>
          <w:rPr>
            <w:rFonts w:hint="default" w:ascii="Cambria Math" w:hAnsi="Cambria Math" w:eastAsia="Segoe UI" w:cs="Times New Roman"/>
            <w:caps w:val="0"/>
            <w:color w:val="0F1115"/>
            <w:spacing w:val="0"/>
            <w:kern w:val="2"/>
            <w:sz w:val="24"/>
            <w:szCs w:val="24"/>
            <w:shd w:val="clear" w:fill="FFFFFF"/>
            <w:lang w:val="en-US" w:eastAsia="zh-CN" w:bidi="ar-SA"/>
          </w:rPr>
          <m:t>P=</m:t>
        </m:r>
        <m:f>
          <m:fPr>
            <m:ctrlPr>
              <w:rPr>
                <w:rFonts w:hint="default" w:ascii="Cambria Math" w:hAnsi="Cambria Math" w:eastAsia="Segoe UI" w:cs="Times New Roman"/>
                <w:i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m:ctrlPr>
          </m:fPr>
          <m:num>
            <m:r>
              <m:rPr/>
              <w:rPr>
                <w:rFonts w:hint="default" w:ascii="Cambria Math" w:hAnsi="Cambria Math" w:eastAsia="Segoe UI" w:cs="Times New Roman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m:t>p</m:t>
            </m:r>
            <m:ctrlPr>
              <w:rPr>
                <w:rFonts w:hint="default" w:ascii="Cambria Math" w:hAnsi="Cambria Math" w:eastAsia="Segoe UI" w:cs="Times New Roman"/>
                <w:i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m:ctrlPr>
          </m:num>
          <m:den>
            <m:r>
              <m:rPr/>
              <w:rPr>
                <w:rFonts w:hint="default" w:ascii="Cambria Math" w:hAnsi="Cambria Math" w:eastAsia="Segoe UI" w:cs="Times New Roman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m:t>1−</m:t>
            </m:r>
            <m:sSup>
              <m:sSupPr>
                <m:ctrlPr>
                  <w:rPr>
                    <w:rFonts w:hint="default" w:ascii="Cambria Math" w:hAnsi="Cambria Math" w:eastAsia="Segoe UI" w:cs="Times New Roman"/>
                    <w:i/>
                    <w:iCs w:val="0"/>
                    <w:caps w:val="0"/>
                    <w:color w:val="0F1115"/>
                    <w:spacing w:val="0"/>
                    <w:kern w:val="2"/>
                    <w:sz w:val="24"/>
                    <w:szCs w:val="24"/>
                    <w:shd w:val="clear" w:fill="FFFFFF"/>
                    <w:lang w:val="en-US" w:eastAsia="zh-CN" w:bidi="ar-SA"/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Segoe UI" w:cs="Times New Roman"/>
                    <w:caps w:val="0"/>
                    <w:color w:val="0F1115"/>
                    <w:spacing w:val="0"/>
                    <w:kern w:val="2"/>
                    <w:sz w:val="24"/>
                    <w:szCs w:val="24"/>
                    <w:shd w:val="clear" w:fill="FFFFFF"/>
                    <w:lang w:val="en-US" w:eastAsia="zh-CN" w:bidi="ar-SA"/>
                  </w:rPr>
                  <m:t>(1−p)</m:t>
                </m:r>
                <m:ctrlPr>
                  <w:rPr>
                    <w:rFonts w:hint="default" w:ascii="Cambria Math" w:hAnsi="Cambria Math" w:eastAsia="Segoe UI" w:cs="Times New Roman"/>
                    <w:i/>
                    <w:iCs w:val="0"/>
                    <w:caps w:val="0"/>
                    <w:color w:val="0F1115"/>
                    <w:spacing w:val="0"/>
                    <w:kern w:val="2"/>
                    <w:sz w:val="24"/>
                    <w:szCs w:val="24"/>
                    <w:shd w:val="clear" w:fill="FFFFFF"/>
                    <w:lang w:val="en-US" w:eastAsia="zh-CN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Segoe UI" w:cs="Times New Roman"/>
                    <w:caps w:val="0"/>
                    <w:color w:val="0F1115"/>
                    <w:spacing w:val="0"/>
                    <w:kern w:val="2"/>
                    <w:sz w:val="24"/>
                    <w:szCs w:val="24"/>
                    <w:shd w:val="clear" w:fill="FFFFFF"/>
                    <w:lang w:val="en-US" w:eastAsia="zh-CN" w:bidi="ar-SA"/>
                  </w:rPr>
                  <m:t>N</m:t>
                </m:r>
                <m:ctrlPr>
                  <w:rPr>
                    <w:rFonts w:hint="default" w:ascii="Cambria Math" w:hAnsi="Cambria Math" w:eastAsia="Segoe UI" w:cs="Times New Roman"/>
                    <w:i/>
                    <w:iCs w:val="0"/>
                    <w:caps w:val="0"/>
                    <w:color w:val="0F1115"/>
                    <w:spacing w:val="0"/>
                    <w:kern w:val="2"/>
                    <w:sz w:val="24"/>
                    <w:szCs w:val="24"/>
                    <w:shd w:val="clear" w:fill="FFFFFF"/>
                    <w:lang w:val="en-US" w:eastAsia="zh-CN" w:bidi="ar-SA"/>
                  </w:rPr>
                </m:ctrlPr>
              </m:sup>
            </m:sSup>
            <m:ctrlPr>
              <w:rPr>
                <w:rFonts w:hint="default" w:ascii="Cambria Math" w:hAnsi="Cambria Math" w:eastAsia="Segoe UI" w:cs="Times New Roman"/>
                <w:i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m:ctrlPr>
          </m:den>
        </m:f>
      </m:oMath>
      <w:r>
        <w:rPr>
          <w:rFonts w:hint="eastAsia" w:hAnsi="Cambria Math" w:eastAsia="Segoe UI" w:cs="Times New Roman"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При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</w:t>
      </w:r>
      <m:oMath>
        <m:r>
          <m:rPr/>
          <w:rPr>
            <w:rFonts w:hint="default" w:ascii="Cambria Math" w:hAnsi="Cambria Math" w:eastAsia="Segoe UI" w:cs="Times New Roman"/>
            <w:caps w:val="0"/>
            <w:color w:val="0F1115"/>
            <w:spacing w:val="0"/>
            <w:kern w:val="2"/>
            <w:sz w:val="24"/>
            <w:szCs w:val="24"/>
            <w:shd w:val="clear" w:fill="FFFFFF"/>
            <w:lang w:val="en-US" w:eastAsia="zh-CN" w:bidi="ar-SA"/>
          </w:rPr>
          <m:t xml:space="preserve">P=1% </m:t>
        </m:r>
      </m:oMath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и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</w:t>
      </w:r>
      <m:oMath>
        <m:r>
          <m:rPr/>
          <w:rPr>
            <w:rFonts w:hint="default" w:ascii="Cambria Math" w:hAnsi="Cambria Math" w:eastAsia="Segoe UI" w:cs="Times New Roman"/>
            <w:caps w:val="0"/>
            <w:color w:val="0F1115"/>
            <w:spacing w:val="0"/>
            <w:kern w:val="2"/>
            <w:sz w:val="24"/>
            <w:szCs w:val="24"/>
            <w:shd w:val="clear" w:fill="FFFFFF"/>
            <w:lang w:val="en-US" w:eastAsia="zh-CN" w:bidi="ar-SA"/>
          </w:rPr>
          <m:t>N=100</m:t>
        </m:r>
      </m:oMath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совокупная вероятность вырастает до 1,58%, а ожидаемое число попыток снижается до 63,3.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«Мягкий гарант» добавляет функцию возрастающей вероятности. В игре </w:t>
      </w:r>
      <w:r>
        <w:rPr>
          <w:rStyle w:val="9"/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Genshin Impact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с 1-й по 73-ю попытку вероятность составляет 0,6%, с 74-й резко возрастает до 6,6% и затем линейно увеличивается, достигая 100% на 90-й попытке. Пик распределения смещается в интервал 74–77 попыток.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«Малый гарант» означает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, что о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жидаемое число попыток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вырастает до </w:t>
      </w:r>
      <m:oMath>
        <m:r>
          <m:rPr>
            <m:sty m:val="p"/>
          </m:rPr>
          <w:rPr>
            <w:rFonts w:hint="default" w:ascii="Times New Roman" w:hAnsi="Times New Roman" w:eastAsia="Times New Roman" w:cs="Times New Roman"/>
            <w:caps w:val="0"/>
            <w:color w:val="0F1115"/>
            <w:spacing w:val="0"/>
            <w:sz w:val="24"/>
            <w:szCs w:val="24"/>
            <w:shd w:val="clear" w:fill="FFFFFF"/>
          </w:rPr>
          <m:t>93</m:t>
        </m:r>
      </m:oMath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[4]</w:t>
      </w:r>
    </w:p>
    <w:p w14:paraId="62CD6DBF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397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Это создаёт психологический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эф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фект неприятия потерь, и игрок продолжает крутить. После получения персонажа действуют психологические эффекты: эффект владения, ошибка невозвратных затрат и социальное сравнение. </w:t>
      </w:r>
      <w:r>
        <w:rPr>
          <w:rFonts w:hint="default" w:ascii="Times New Roman" w:hAnsi="Times New Roman" w:eastAsia="Segoe UI" w:cs="Times New Roman"/>
          <w:i w:val="0"/>
          <w:iCs w:val="0"/>
          <w:color w:val="0F1115"/>
          <w:spacing w:val="0"/>
          <w:sz w:val="24"/>
          <w:szCs w:val="24"/>
          <w:shd w:val="clear" w:fill="FFFFFF"/>
          <w:lang w:val="ru-RU"/>
        </w:rPr>
        <w:t>Ч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то удерживает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игрока даже при падении интереса.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[2]</w:t>
      </w:r>
    </w:p>
    <w:p w14:paraId="53BB52B1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firstLine="397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Система гаранта в гача-играх объединяет теорию вероятностей и поведенческую экономику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и основывается на точном математическом расчёте.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</w:t>
      </w:r>
    </w:p>
    <w:p w14:paraId="67706204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Л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итература</w:t>
      </w:r>
    </w:p>
    <w:p w14:paraId="3DF7C0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聊聊抽卡这件事——从系统与用户行为数据全面分析抽卡设计 - 阿勃的文章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// 知乎. </w:t>
      </w:r>
      <w:r>
        <w:rPr>
          <w:rFonts w:ascii="Times New Roman" w:hAnsi="Times New Roman"/>
          <w:sz w:val="24"/>
          <w:lang w:val="ru-RU"/>
        </w:rPr>
        <w:t>[электронный ресурс]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ascii="Times New Roman" w:hAnsi="Times New Roman"/>
          <w:sz w:val="24"/>
        </w:rPr>
        <w:t>URL: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"https://zhuanlan.zhihu.com/p/653472876"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https://zhuanlan.zhihu.com/p/653472876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(дата обращения </w:t>
      </w:r>
      <w:r>
        <w:rPr>
          <w:rFonts w:hint="default" w:ascii="Times New Roman" w:hAnsi="Times New Roman"/>
          <w:sz w:val="24"/>
          <w:lang w:val="ru-RU"/>
        </w:rPr>
        <w:t>25</w:t>
      </w:r>
      <w:r>
        <w:rPr>
          <w:rFonts w:ascii="Times New Roman" w:hAnsi="Times New Roman"/>
          <w:sz w:val="24"/>
          <w:lang w:val="ru-RU"/>
        </w:rPr>
        <w:t>.0</w:t>
      </w:r>
      <w:r>
        <w:rPr>
          <w:rFonts w:hint="default" w:ascii="Times New Roman" w:hAnsi="Times New Roman"/>
          <w:sz w:val="24"/>
          <w:lang w:val="ru-RU"/>
        </w:rPr>
        <w:t>3</w:t>
      </w:r>
      <w:r>
        <w:rPr>
          <w:rFonts w:ascii="Times New Roman" w:hAnsi="Times New Roman"/>
          <w:sz w:val="24"/>
          <w:lang w:val="ru-RU"/>
        </w:rPr>
        <w:t>.2025)</w:t>
      </w:r>
    </w:p>
    <w:p w14:paraId="2695D5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Рузанов И.В., Чумакова Т.Н. От игрового вовлечения к творческому мышлению: культурно-философский анализ игровых механик Genshin Impact // Философия и культура. 2025. № 8. С. 71-86.</w:t>
      </w:r>
    </w:p>
    <w:p w14:paraId="276258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"/>
        </w:rPr>
        <w:t>Феномен гача-игр. Как зародился самый популярный формат современных мобильных игр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ascii="Times New Roman" w:hAnsi="Times New Roman"/>
          <w:sz w:val="24"/>
          <w:lang w:val="ru-RU"/>
        </w:rPr>
        <w:t>//</w:t>
      </w:r>
      <w:r>
        <w:rPr>
          <w:rFonts w:hint="default" w:ascii="Times New Roman" w:hAnsi="Times New Roman"/>
          <w:sz w:val="24"/>
          <w:lang w:val="ru-RU"/>
        </w:rPr>
        <w:t xml:space="preserve"> Хабр. Блог компании </w:t>
      </w:r>
      <w:r>
        <w:rPr>
          <w:rFonts w:hint="eastAsia" w:ascii="Times New Roman" w:hAnsi="Times New Roman"/>
          <w:sz w:val="24"/>
          <w:lang w:val="en-US" w:eastAsia="zh-CN"/>
        </w:rPr>
        <w:t>Timewebcloud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.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ascii="Times New Roman" w:hAnsi="Times New Roman"/>
          <w:sz w:val="24"/>
          <w:lang w:val="ru-RU"/>
        </w:rPr>
        <w:t>[электронный ресурс]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ascii="Times New Roman" w:hAnsi="Times New Roman"/>
          <w:sz w:val="24"/>
        </w:rPr>
        <w:t>URL: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instrText xml:space="preserve"> HYPERLINK "https://habr.com/ru/companies/timeweb/articles/891142/"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fldChar w:fldCharType="separate"/>
      </w: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https://habr.com/ru/companies/timeweb/articles/891142/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(дата обращения </w:t>
      </w:r>
      <w:r>
        <w:rPr>
          <w:rFonts w:hint="default" w:ascii="Times New Roman" w:hAnsi="Times New Roman"/>
          <w:sz w:val="24"/>
          <w:lang w:val="ru-RU"/>
        </w:rPr>
        <w:t>25</w:t>
      </w:r>
      <w:r>
        <w:rPr>
          <w:rFonts w:ascii="Times New Roman" w:hAnsi="Times New Roman"/>
          <w:sz w:val="24"/>
          <w:lang w:val="ru-RU"/>
        </w:rPr>
        <w:t>.0</w:t>
      </w:r>
      <w:r>
        <w:rPr>
          <w:rFonts w:hint="default" w:ascii="Times New Roman" w:hAnsi="Times New Roman"/>
          <w:sz w:val="24"/>
          <w:lang w:val="ru-RU"/>
        </w:rPr>
        <w:t>3</w:t>
      </w:r>
      <w:r>
        <w:rPr>
          <w:rFonts w:ascii="Times New Roman" w:hAnsi="Times New Roman"/>
          <w:sz w:val="24"/>
          <w:lang w:val="ru-RU"/>
        </w:rPr>
        <w:t>.2025)</w:t>
      </w:r>
    </w:p>
    <w:p w14:paraId="5CC10ED4">
      <w:pPr>
        <w:numPr>
          <w:ilvl w:val="0"/>
          <w:numId w:val="1"/>
        </w:numPr>
        <w:ind w:left="425" w:leftChars="0" w:hanging="425" w:firstLineChars="0"/>
        <w:rPr>
          <w:rFonts w:ascii="Times New Roman" w:hAnsi="Times New Roman"/>
          <w:sz w:val="24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Reyes, J. How Gacha Games Work: Banners, Pulls, Pity Systems and More.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2025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//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Epic Games Store News.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ascii="Times New Roman" w:hAnsi="Times New Roman"/>
          <w:sz w:val="24"/>
          <w:lang w:val="ru-RU"/>
        </w:rPr>
        <w:t>[электронный ресурс]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ascii="Times New Roman" w:hAnsi="Times New Roman"/>
          <w:sz w:val="24"/>
        </w:rPr>
        <w:t>URL: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instrText xml:space="preserve"> HYPERLINK "https://store.epicgames.com/ru/news/gacha-games-explained-banners-pulls-pity-systems-and-more" </w:instrTex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https://store.epicgames.com/ru/news/gacha-games-explained-banners-pulls-pity-systems-and-more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(дата обращения </w:t>
      </w:r>
      <w:r>
        <w:rPr>
          <w:rFonts w:hint="default" w:ascii="Times New Roman" w:hAnsi="Times New Roman"/>
          <w:sz w:val="24"/>
          <w:lang w:val="ru-RU"/>
        </w:rPr>
        <w:t>25</w:t>
      </w:r>
      <w:r>
        <w:rPr>
          <w:rFonts w:ascii="Times New Roman" w:hAnsi="Times New Roman"/>
          <w:sz w:val="24"/>
          <w:lang w:val="ru-RU"/>
        </w:rPr>
        <w:t>.0</w:t>
      </w:r>
      <w:r>
        <w:rPr>
          <w:rFonts w:hint="default" w:ascii="Times New Roman" w:hAnsi="Times New Roman"/>
          <w:sz w:val="24"/>
          <w:lang w:val="ru-RU"/>
        </w:rPr>
        <w:t>3</w:t>
      </w:r>
      <w:r>
        <w:rPr>
          <w:rFonts w:ascii="Times New Roman" w:hAnsi="Times New Roman"/>
          <w:sz w:val="24"/>
          <w:lang w:val="ru-RU"/>
        </w:rPr>
        <w:t>.2025)</w:t>
      </w:r>
    </w:p>
    <w:p w14:paraId="5A4811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Taylor, D. G. The Mathematics of Games: An Introduction to Probability.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//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Boca Raton: CRC Press.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2025. p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 w:eastAsia="zh-CN"/>
        </w:rPr>
        <w:t>. 370.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6BBB3"/>
    <w:multiLevelType w:val="singleLevel"/>
    <w:tmpl w:val="4016BBB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81CF5"/>
    <w:rsid w:val="00B91DBF"/>
    <w:rsid w:val="00BA0B9C"/>
    <w:rsid w:val="012A0989"/>
    <w:rsid w:val="0139423D"/>
    <w:rsid w:val="01943759"/>
    <w:rsid w:val="01DF5C17"/>
    <w:rsid w:val="02C7409E"/>
    <w:rsid w:val="04CE32A6"/>
    <w:rsid w:val="052E47BF"/>
    <w:rsid w:val="075A73A0"/>
    <w:rsid w:val="076A763A"/>
    <w:rsid w:val="07A56FBB"/>
    <w:rsid w:val="07BD1643"/>
    <w:rsid w:val="081B3BDB"/>
    <w:rsid w:val="0968167E"/>
    <w:rsid w:val="0CBC03F1"/>
    <w:rsid w:val="0CEE67C0"/>
    <w:rsid w:val="0D562B05"/>
    <w:rsid w:val="0D7C678E"/>
    <w:rsid w:val="0ED36985"/>
    <w:rsid w:val="0F942ADE"/>
    <w:rsid w:val="120E7E53"/>
    <w:rsid w:val="127A53DE"/>
    <w:rsid w:val="12AC362F"/>
    <w:rsid w:val="133F3459"/>
    <w:rsid w:val="147F1DF0"/>
    <w:rsid w:val="163671EE"/>
    <w:rsid w:val="173059F6"/>
    <w:rsid w:val="176C7977"/>
    <w:rsid w:val="1794683D"/>
    <w:rsid w:val="17DC32D8"/>
    <w:rsid w:val="183D2FD1"/>
    <w:rsid w:val="18954E2A"/>
    <w:rsid w:val="1A765A93"/>
    <w:rsid w:val="1AE9220B"/>
    <w:rsid w:val="1AED613D"/>
    <w:rsid w:val="1C0540A5"/>
    <w:rsid w:val="1CFE5426"/>
    <w:rsid w:val="1DBE0159"/>
    <w:rsid w:val="1DDF0EA3"/>
    <w:rsid w:val="1ED35AA3"/>
    <w:rsid w:val="21D06385"/>
    <w:rsid w:val="21F30041"/>
    <w:rsid w:val="2218375D"/>
    <w:rsid w:val="221849DF"/>
    <w:rsid w:val="23715840"/>
    <w:rsid w:val="23BA1BE8"/>
    <w:rsid w:val="23F53B0C"/>
    <w:rsid w:val="23F5732E"/>
    <w:rsid w:val="240750AB"/>
    <w:rsid w:val="242022A8"/>
    <w:rsid w:val="248863FE"/>
    <w:rsid w:val="26704B8B"/>
    <w:rsid w:val="28D50A2D"/>
    <w:rsid w:val="2A1A5F20"/>
    <w:rsid w:val="2A9860B3"/>
    <w:rsid w:val="2BD63BDB"/>
    <w:rsid w:val="2CEC30C8"/>
    <w:rsid w:val="2D824FB8"/>
    <w:rsid w:val="2DFF7E04"/>
    <w:rsid w:val="2EEA4413"/>
    <w:rsid w:val="2FF355C0"/>
    <w:rsid w:val="3085324C"/>
    <w:rsid w:val="3288687C"/>
    <w:rsid w:val="33AE665F"/>
    <w:rsid w:val="346D5E8F"/>
    <w:rsid w:val="3566192B"/>
    <w:rsid w:val="362A70EA"/>
    <w:rsid w:val="36641223"/>
    <w:rsid w:val="36A06A1C"/>
    <w:rsid w:val="3704484F"/>
    <w:rsid w:val="388108C3"/>
    <w:rsid w:val="38A464F9"/>
    <w:rsid w:val="38C641BE"/>
    <w:rsid w:val="39DF5AAD"/>
    <w:rsid w:val="39F374A0"/>
    <w:rsid w:val="3A202852"/>
    <w:rsid w:val="3A4B6C9E"/>
    <w:rsid w:val="3BE949C1"/>
    <w:rsid w:val="3C236125"/>
    <w:rsid w:val="3F311645"/>
    <w:rsid w:val="40D3577D"/>
    <w:rsid w:val="41350D1C"/>
    <w:rsid w:val="41EA5C7B"/>
    <w:rsid w:val="422D6DA0"/>
    <w:rsid w:val="42602A72"/>
    <w:rsid w:val="43E9037B"/>
    <w:rsid w:val="44726FDA"/>
    <w:rsid w:val="44F77233"/>
    <w:rsid w:val="453C2005"/>
    <w:rsid w:val="45C142B9"/>
    <w:rsid w:val="4619280E"/>
    <w:rsid w:val="46CE4EDF"/>
    <w:rsid w:val="47A97CA8"/>
    <w:rsid w:val="49570A61"/>
    <w:rsid w:val="49FE5ADB"/>
    <w:rsid w:val="4D9626D8"/>
    <w:rsid w:val="4E9D1289"/>
    <w:rsid w:val="4FAC0CFF"/>
    <w:rsid w:val="50093D5E"/>
    <w:rsid w:val="515A2406"/>
    <w:rsid w:val="52100AA2"/>
    <w:rsid w:val="540B32CF"/>
    <w:rsid w:val="545B07F5"/>
    <w:rsid w:val="54712998"/>
    <w:rsid w:val="552E2654"/>
    <w:rsid w:val="554C27CA"/>
    <w:rsid w:val="562F7AA7"/>
    <w:rsid w:val="56607C45"/>
    <w:rsid w:val="57245405"/>
    <w:rsid w:val="57C40364"/>
    <w:rsid w:val="582E60B9"/>
    <w:rsid w:val="58595802"/>
    <w:rsid w:val="58C47EF0"/>
    <w:rsid w:val="5925453B"/>
    <w:rsid w:val="59CE2DE5"/>
    <w:rsid w:val="5A36150F"/>
    <w:rsid w:val="5A61633E"/>
    <w:rsid w:val="5AF83FCE"/>
    <w:rsid w:val="5B3F1D42"/>
    <w:rsid w:val="5C41066B"/>
    <w:rsid w:val="5C56668D"/>
    <w:rsid w:val="5CC93979"/>
    <w:rsid w:val="5D0403A9"/>
    <w:rsid w:val="5D057DF3"/>
    <w:rsid w:val="5D313FF8"/>
    <w:rsid w:val="5D6F7A58"/>
    <w:rsid w:val="5DF65A66"/>
    <w:rsid w:val="5E203FF8"/>
    <w:rsid w:val="5E83629B"/>
    <w:rsid w:val="5F2F3ABE"/>
    <w:rsid w:val="5F3538F6"/>
    <w:rsid w:val="5F824451"/>
    <w:rsid w:val="5FE80968"/>
    <w:rsid w:val="61B81661"/>
    <w:rsid w:val="62272117"/>
    <w:rsid w:val="62DD39C2"/>
    <w:rsid w:val="63972DF0"/>
    <w:rsid w:val="644E3D7B"/>
    <w:rsid w:val="646734C9"/>
    <w:rsid w:val="64693149"/>
    <w:rsid w:val="64AD03BA"/>
    <w:rsid w:val="64AF1B57"/>
    <w:rsid w:val="64EB5CA0"/>
    <w:rsid w:val="65822B9D"/>
    <w:rsid w:val="65F95FCF"/>
    <w:rsid w:val="66C06B20"/>
    <w:rsid w:val="67957627"/>
    <w:rsid w:val="679A4C3E"/>
    <w:rsid w:val="67D11C12"/>
    <w:rsid w:val="67E24E2B"/>
    <w:rsid w:val="68B834D5"/>
    <w:rsid w:val="691D4401"/>
    <w:rsid w:val="693A7F09"/>
    <w:rsid w:val="69951B60"/>
    <w:rsid w:val="6B131038"/>
    <w:rsid w:val="6B9C3E44"/>
    <w:rsid w:val="6C181CF5"/>
    <w:rsid w:val="6CED6224"/>
    <w:rsid w:val="6DEB00EA"/>
    <w:rsid w:val="711902A1"/>
    <w:rsid w:val="71C02D8C"/>
    <w:rsid w:val="726F6D4C"/>
    <w:rsid w:val="72A8342B"/>
    <w:rsid w:val="72BA43E6"/>
    <w:rsid w:val="7510189E"/>
    <w:rsid w:val="757765BE"/>
    <w:rsid w:val="783F3C54"/>
    <w:rsid w:val="795F53B0"/>
    <w:rsid w:val="79EA2C5F"/>
    <w:rsid w:val="7B9704D3"/>
    <w:rsid w:val="7CB20528"/>
    <w:rsid w:val="7E194CEF"/>
    <w:rsid w:val="7FE8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2520</Characters>
  <Lines>0</Lines>
  <Paragraphs>0</Paragraphs>
  <TotalTime>14</TotalTime>
  <ScaleCrop>false</ScaleCrop>
  <LinksUpToDate>false</LinksUpToDate>
  <CharactersWithSpaces>2884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2026-03-16T15:55:00Z</dcterms:created>
  <dc:creator>ᵐᵃᶜᵃ ᵇᵃᵏᵃ-</dc:creator>
  <cp:lastModifiedBy>ᵐᵃᶜᵃ ᵇᵃᵏᵃ-</cp:lastModifiedBy>
  <dcterms:modified xsi:type="dcterms:W3CDTF">2026-03-30T09:06:21Z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035D8472D5704763BA60C0D28895F739_13</vt:lpwstr>
  </property>
  <property fmtid="{D5CDD505-2E9C-101B-9397-08002B2CF9AE}" pid="4" name="KSOTemplateDocerSaveRecord">
    <vt:lpwstr>eyJoZGlkIjoiZGRjMDg5NzlkY2RjMmE4MTIzZDQ4NDIyYjAxZjNlNDciLCJ1c2VySWQiOiIxNjQ1NjE5MTczIn0=</vt:lpwstr>
  </property>
</Properties>
</file>