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C07A">
      <w:pPr>
        <w:widowControl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  <w:t xml:space="preserve">Н.А. Некрасов и русско-китайский культурный трансфер: </w:t>
      </w:r>
    </w:p>
    <w:p w14:paraId="0148E457">
      <w:pPr>
        <w:widowControl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  <w:t>особенности переводов и восприятие лирики Некрасова в Китае</w:t>
      </w:r>
    </w:p>
    <w:p w14:paraId="6D26D49C">
      <w:pPr>
        <w:widowControl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</w:p>
    <w:p w14:paraId="56DCD67E">
      <w:pPr>
        <w:widowControl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  <w14:ligatures w14:val="standardContextual"/>
        </w:rPr>
        <w:t>Ван Суюй</w:t>
      </w:r>
      <w:bookmarkStart w:id="0" w:name="_GoBack"/>
      <w:bookmarkEnd w:id="0"/>
    </w:p>
    <w:p w14:paraId="0C28C47B">
      <w:pPr>
        <w:jc w:val="center"/>
        <w:rPr>
          <w:rFonts w:ascii="Times New Roman" w:hAnsi="Times New Roman" w:eastAsia="Times New Roman" w:cs="Times New Roman"/>
          <w:bCs/>
          <w:i/>
          <w:iCs/>
          <w:color w:val="000000"/>
          <w:kern w:val="0"/>
          <w:sz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kern w:val="0"/>
          <w:sz w:val="24"/>
          <w:lang w:val="ru-RU" w:eastAsia="ar-SA"/>
        </w:rPr>
        <w:t xml:space="preserve">Студентка </w:t>
      </w:r>
    </w:p>
    <w:p w14:paraId="1623440E">
      <w:pPr>
        <w:tabs>
          <w:tab w:val="left" w:pos="709"/>
          <w:tab w:val="left" w:pos="3351"/>
        </w:tabs>
        <w:suppressAutoHyphens/>
        <w:ind w:firstLine="567"/>
        <w:jc w:val="center"/>
        <w:rPr>
          <w:rFonts w:ascii="Times New Roman" w:hAnsi="Times New Roman" w:eastAsia="Times New Roman" w:cs="Times New Roman"/>
          <w:bCs/>
          <w:i/>
          <w:iCs/>
          <w:color w:val="000000"/>
          <w:kern w:val="0"/>
          <w:sz w:val="24"/>
          <w:lang w:val="ru-RU" w:eastAsia="ar-SA"/>
        </w:rPr>
      </w:pPr>
      <w:r>
        <w:rPr>
          <w:rFonts w:ascii="Times New Roman" w:hAnsi="Times New Roman" w:eastAsia="Calibri" w:cs="Times New Roman"/>
          <w:bCs/>
          <w:i/>
          <w:iCs/>
          <w:color w:val="000000"/>
          <w:kern w:val="0"/>
          <w:sz w:val="24"/>
          <w:lang w:val="ru-RU" w:eastAsia="en-US"/>
        </w:rPr>
        <w:t>Университет МГУ-ППИ в Шэньчжене,</w:t>
      </w:r>
    </w:p>
    <w:p w14:paraId="20E5983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kern w:val="0"/>
          <w:sz w:val="24"/>
          <w:lang w:val="ru-RU" w:eastAsia="ar-SA"/>
        </w:rPr>
        <w:t xml:space="preserve">филологический факультет, </w:t>
      </w:r>
      <w:r>
        <w:rPr>
          <w:rFonts w:ascii="Times New Roman" w:hAnsi="Times New Roman" w:eastAsia="Calibri" w:cs="Times New Roman"/>
          <w:bCs/>
          <w:i/>
          <w:iCs/>
          <w:kern w:val="0"/>
          <w:sz w:val="24"/>
          <w:lang w:val="ru-RU" w:eastAsia="en-US"/>
        </w:rPr>
        <w:t>Шэньчжэнь, Китай</w:t>
      </w:r>
    </w:p>
    <w:p w14:paraId="0E14B213">
      <w:pPr>
        <w:widowControl/>
        <w:numPr>
          <w:ilvl w:val="0"/>
          <w:numId w:val="1"/>
        </w:numPr>
        <w:tabs>
          <w:tab w:val="left" w:pos="709"/>
          <w:tab w:val="left" w:pos="3351"/>
        </w:tabs>
        <w:suppressAutoHyphens/>
        <w:ind w:firstLine="709"/>
        <w:jc w:val="center"/>
        <w:rPr>
          <w:rFonts w:ascii="Times New Roman" w:hAnsi="Times New Roman" w:eastAsia="Calibri" w:cs="Times New Roman"/>
          <w:bCs/>
          <w:i/>
          <w:kern w:val="0"/>
          <w:sz w:val="24"/>
        </w:rPr>
      </w:pPr>
      <w:r>
        <w:rPr>
          <w:rFonts w:hint="eastAsia" w:ascii="Times New Roman" w:hAnsi="Times New Roman" w:eastAsia="Calibri" w:cs="Times New Roman"/>
          <w:bCs/>
          <w:i/>
          <w:kern w:val="0"/>
          <w:sz w:val="24"/>
        </w:rPr>
        <w:t>Mail: 2101357142@qq.com</w:t>
      </w:r>
    </w:p>
    <w:p w14:paraId="7F40A186">
      <w:pPr>
        <w:widowControl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  <w14:ligatures w14:val="standardContextual"/>
        </w:rPr>
      </w:pPr>
    </w:p>
    <w:p w14:paraId="0B8E2373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Творчество Н.А. Некрасова занимает особое место в истории русско-китайского культурного трансфера. Начиная с эпохи «Движения 4 мая» (1919), когда китайские интеллектуалы обратились к русской литературе в поисках средств для социального обновления, поэзия Некрасова воспринималась как голос народа, обличающий социальную несправедливость. Несмотря на многолетнюю историю изучения, вопрос о том, как именно поэтика Некрасова адаптировалась к китайской культурной среде, остается недостаточно исследованным.</w:t>
      </w:r>
    </w:p>
    <w:p w14:paraId="194F2727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В докладе предпринимается попытка сопоставить китайские переводы трех стихотворений Некрасова: «Несжатая полоса» (1854), «Железная дорога» (1864) и «Поэт и гражданин» (1856). Материалом исследования послужили переводы Вэй Хуанну, Дин Лу, Ван Фэйбай, а также Ма Цзяцзюня и Чэнь Дяньсина, представляющие разные подходы к передаче некрасовского стиха.</w:t>
      </w:r>
    </w:p>
    <w:p w14:paraId="00419A72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Сравнительный анализ переводов позволяет выявить три различные стратегии работы с поэтическим текстом. Первая стратегия (Ма Цзяцзюнь, Чэнь Дяньсин) ориентирована на эмоциональное воздействие и драматизацию. Ма Цзяцзюнь в «Железной дороге» использует свободный прозаический стиль, отказываясь от строгого ритма в пользу ярких образов («всё косточки русские» — «骸骨» (кости, скелет, останки) ). Чэнь Дяньсин в «Поэте и гражданине» создает драматический конфликт через разговорную лексику («半死不活» (букв. наполовину мёртв, наполовину жив) , «可憎怪模样» (букв. отвратительная, чудная/странная физиономия)). Вторая стратегия (Вэй Хуанну) направлена на сохранение формальной упорядоченности и семантической точности. Его переводы отличаются регулярной рифмовкой и книжным стилем, а ключевые образы передаются с максимальной эквивалентностью. Третья стратегия (Дин Лу) представляет собой поиск баланса между формой и содержанием. Дин Лу воссоздает ритмическую структуру через упорядоченные звуковые группы, а в «Поэте и гражданине» подчеркивает манифестационный характер текста, конкретные примеры чего можно увидеть в переводческом подходе к строке «Поэтом можешь ты не быть, но гражданином быть обязан».</w:t>
      </w:r>
    </w:p>
    <w:p w14:paraId="799A5599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Особый интерес представляет работа переводчиков с ключевыми образами. В «Железной дороге» при передаче «язвы на тощих руках» Ма Цзяцзюнь через «长疮流浓» (букв. растут нарывы и течет гной) создает сильнейшее визуальное воздействие. В «Поэте и гражданине» при переводе понятия «Муза» Чэнь Дяньсин секуляризирует его («歌唱才能» (особая певческая одарённость)), Вэй Хуанну сохраняет сакральность («天国的选民» (избранник небесный)), а Дин Лу акцентирует уникальность статуса поэта («天之骄子» (баловень небес, с яркой культурной коннотацией)).</w:t>
      </w:r>
    </w:p>
    <w:p w14:paraId="49D5996F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Таким образом, китайские переводы некрасовских стихотворений являются не просто копиями источника, но самостоятельными художественными явлениями. Три выявленные стратегии демонстрируют, как в китайской переводческой традиции решаются универсальные проблемы передачи иноязычной поэзии: соотношение формы и содержания, точности и выразительности, культурной адаптации и сохранения оригинальности.</w:t>
      </w:r>
    </w:p>
    <w:p w14:paraId="6EE4E527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</w:p>
    <w:p w14:paraId="5650559A">
      <w:pPr>
        <w:widowControl/>
        <w:ind w:firstLine="480" w:firstLineChars="200"/>
        <w:rPr>
          <w:rFonts w:ascii="Times New Roman" w:hAnsi="Times New Roman" w:cs="Times New Roman"/>
          <w:sz w:val="24"/>
          <w:lang w:val="ru-RU"/>
          <w14:ligatures w14:val="standardContextu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E503F"/>
    <w:multiLevelType w:val="singleLevel"/>
    <w:tmpl w:val="0C7E503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hideSpellingErrors/>
  <w:hideGrammaticalError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1C"/>
    <w:rsid w:val="00513D1C"/>
    <w:rsid w:val="00970763"/>
    <w:rsid w:val="009D2A95"/>
    <w:rsid w:val="561F1BFC"/>
    <w:rsid w:val="7CF1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rPr>
      <w:sz w:val="20"/>
      <w:szCs w:val="20"/>
    </w:rPr>
  </w:style>
  <w:style w:type="paragraph" w:styleId="3">
    <w:name w:val="Normal (Web)"/>
    <w:basedOn w:val="1"/>
    <w:uiPriority w:val="0"/>
    <w:rPr>
      <w:sz w:val="24"/>
    </w:rPr>
  </w:style>
  <w:style w:type="paragraph" w:styleId="4">
    <w:name w:val="annotation subject"/>
    <w:basedOn w:val="2"/>
    <w:next w:val="2"/>
    <w:link w:val="10"/>
    <w:uiPriority w:val="0"/>
    <w:rPr>
      <w:b/>
      <w:bCs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uiPriority w:val="0"/>
    <w:rPr>
      <w:sz w:val="16"/>
      <w:szCs w:val="16"/>
    </w:rPr>
  </w:style>
  <w:style w:type="character" w:customStyle="1" w:styleId="9">
    <w:name w:val="Текст примечания Знак"/>
    <w:basedOn w:val="6"/>
    <w:link w:val="2"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10">
    <w:name w:val="Тема примечания Знак"/>
    <w:basedOn w:val="9"/>
    <w:link w:val="4"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2470</Characters>
  <Lines>22</Lines>
  <Paragraphs>6</Paragraphs>
  <TotalTime>6</TotalTime>
  <ScaleCrop>false</ScaleCrop>
  <LinksUpToDate>false</LinksUpToDate>
  <CharactersWithSpaces>2812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2026-03-06T11:24:00Z</dcterms:created>
  <dc:creator>86159</dc:creator>
  <cp:lastModifiedBy>汪酥鱼</cp:lastModifiedBy>
  <dcterms:modified xsi:type="dcterms:W3CDTF">2026-03-06T12:29:26Z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eyJoZGlkIjoiN2EzNTFhYWY2NWM5YzA5ZmUzZjdhMzIzOGI1YWYyODQiLCJ1c2VySWQiOiI4NDAxMjI4NjUifQ==</vt:lpwstr>
  </property>
  <property fmtid="{D5CDD505-2E9C-101B-9397-08002B2CF9AE}" pid="4" name="ICV">
    <vt:lpwstr>3C15E1BB95224C1480BECD0C83ECE8F5_12</vt:lpwstr>
  </property>
</Properties>
</file>