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0AF" w:rsidRDefault="004E6197">
      <w:pPr>
        <w:jc w:val="center"/>
      </w:pPr>
      <w:r>
        <w:rPr>
          <w:b/>
          <w:bCs/>
          <w:sz w:val="24"/>
          <w:szCs w:val="24"/>
        </w:rPr>
        <w:t>Понятие «беженец» в праве Европейского Союза</w:t>
      </w:r>
    </w:p>
    <w:p w:rsidR="007010AF" w:rsidRDefault="004E6197">
      <w:pPr>
        <w:jc w:val="center"/>
      </w:pPr>
      <w:r>
        <w:rPr>
          <w:b/>
          <w:bCs/>
          <w:sz w:val="24"/>
          <w:szCs w:val="24"/>
        </w:rPr>
        <w:t>как ограниченно автономная юридическая конструкция</w:t>
      </w:r>
    </w:p>
    <w:p w:rsidR="007010AF" w:rsidRDefault="004E6197">
      <w:pPr>
        <w:jc w:val="center"/>
      </w:pPr>
      <w:r>
        <w:rPr>
          <w:b/>
          <w:bCs/>
          <w:i/>
          <w:iCs/>
          <w:sz w:val="24"/>
          <w:szCs w:val="24"/>
        </w:rPr>
        <w:t xml:space="preserve">Щеглов </w:t>
      </w:r>
      <w:r w:rsidR="00B553B2" w:rsidRPr="00B553B2">
        <w:rPr>
          <w:b/>
          <w:bCs/>
          <w:i/>
          <w:iCs/>
          <w:sz w:val="24"/>
          <w:szCs w:val="24"/>
        </w:rPr>
        <w:t>Алексей Константинович</w:t>
      </w:r>
    </w:p>
    <w:p w:rsidR="007010AF" w:rsidRDefault="004E6197">
      <w:pPr>
        <w:jc w:val="center"/>
      </w:pPr>
      <w:r>
        <w:rPr>
          <w:i/>
          <w:iCs/>
          <w:sz w:val="24"/>
          <w:szCs w:val="24"/>
        </w:rPr>
        <w:t>Аспирант</w:t>
      </w:r>
    </w:p>
    <w:p w:rsidR="007010AF" w:rsidRDefault="004E6197">
      <w:pPr>
        <w:jc w:val="center"/>
      </w:pPr>
      <w:r>
        <w:rPr>
          <w:i/>
          <w:iCs/>
          <w:sz w:val="24"/>
          <w:szCs w:val="24"/>
        </w:rPr>
        <w:t>Тюменский государственный университет,</w:t>
      </w:r>
    </w:p>
    <w:p w:rsidR="007010AF" w:rsidRDefault="004E6197">
      <w:pPr>
        <w:jc w:val="center"/>
      </w:pPr>
      <w:r>
        <w:rPr>
          <w:i/>
          <w:iCs/>
          <w:sz w:val="24"/>
          <w:szCs w:val="24"/>
        </w:rPr>
        <w:t>Институт государства и права, Тюмень, Россия</w:t>
      </w:r>
    </w:p>
    <w:p w:rsidR="007010AF" w:rsidRDefault="004E6197" w:rsidP="00B553B2">
      <w:pPr>
        <w:jc w:val="center"/>
      </w:pPr>
      <w:r>
        <w:rPr>
          <w:i/>
          <w:iCs/>
          <w:sz w:val="24"/>
          <w:szCs w:val="24"/>
        </w:rPr>
        <w:t>E-mail: shcheglovaleksey@vk.com</w:t>
      </w:r>
    </w:p>
    <w:p w:rsidR="007010AF" w:rsidRDefault="004E6197">
      <w:pPr>
        <w:ind w:firstLine="397"/>
        <w:jc w:val="both"/>
      </w:pPr>
      <w:r>
        <w:rPr>
          <w:sz w:val="24"/>
          <w:szCs w:val="24"/>
        </w:rPr>
        <w:t>Понятие «беженец» в праве Европейского Союза формально опирается на определение из статьи 1A(2) Конвенции о статусе беженцев 1951 года [2]. Однако практика Суда ЕС показывает, что в рамках Общей европейской системы предоставления убежища это понятие приобрело собственное содержание. Суд ЕС раскрывает его ключевые элементы — основания признания, прекращение и исключение из статуса — через цели и принципы самого права ЕС.</w:t>
      </w:r>
    </w:p>
    <w:p w:rsidR="007010AF" w:rsidRDefault="004E6197">
      <w:pPr>
        <w:ind w:firstLine="397"/>
        <w:jc w:val="both"/>
      </w:pPr>
      <w:r>
        <w:rPr>
          <w:sz w:val="24"/>
          <w:szCs w:val="24"/>
        </w:rPr>
        <w:t xml:space="preserve">Основой такой самостоятельности служит доктрина автономных понятий: если норма права ЕС использует термин и не отсылает к праву государств-членов, его значение определяется Судом ЕС единообразно. В деле </w:t>
      </w:r>
      <w:proofErr w:type="spellStart"/>
      <w:r>
        <w:rPr>
          <w:i/>
          <w:iCs/>
          <w:sz w:val="24"/>
          <w:szCs w:val="24"/>
        </w:rPr>
        <w:t>Diakité</w:t>
      </w:r>
      <w:proofErr w:type="spellEnd"/>
      <w:r>
        <w:rPr>
          <w:sz w:val="24"/>
          <w:szCs w:val="24"/>
        </w:rPr>
        <w:t xml:space="preserve"> (2014) Суд применил этот подход к статье 15(c) Директивы 2011/95/ЕС и указал, что понятие «внутренний вооружённый конфликт» толкуется исходя из целей самой Директивы, а не через понятийный аппарат международного</w:t>
      </w:r>
      <w:r w:rsidR="000F3CA7">
        <w:rPr>
          <w:sz w:val="24"/>
          <w:szCs w:val="24"/>
        </w:rPr>
        <w:t xml:space="preserve"> гуманитарного права [3</w:t>
      </w:r>
      <w:r>
        <w:rPr>
          <w:sz w:val="24"/>
          <w:szCs w:val="24"/>
        </w:rPr>
        <w:t>].</w:t>
      </w:r>
    </w:p>
    <w:p w:rsidR="007010AF" w:rsidRDefault="004E6197">
      <w:pPr>
        <w:ind w:firstLine="397"/>
        <w:jc w:val="both"/>
      </w:pPr>
      <w:r>
        <w:rPr>
          <w:sz w:val="24"/>
          <w:szCs w:val="24"/>
        </w:rPr>
        <w:t xml:space="preserve">Четыре решения Суда ЕС показывают, как этот подход работает. В деле </w:t>
      </w:r>
      <w:proofErr w:type="spellStart"/>
      <w:r>
        <w:rPr>
          <w:i/>
          <w:iCs/>
          <w:sz w:val="24"/>
          <w:szCs w:val="24"/>
        </w:rPr>
        <w:t>Salahadin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Abdulla</w:t>
      </w:r>
      <w:proofErr w:type="spellEnd"/>
      <w:r>
        <w:rPr>
          <w:sz w:val="24"/>
          <w:szCs w:val="24"/>
        </w:rPr>
        <w:t xml:space="preserve"> (2010) немецкие власти отменили статус беженца гражданам Ирака после падения режима Саддама Хусейна. Суд постановил, что прекращение статуса допустимо лишь при значительном и устойчивом изменении обстоятельств и при условии, что защита от преследо</w:t>
      </w:r>
      <w:r w:rsidR="000F3CA7">
        <w:rPr>
          <w:sz w:val="24"/>
          <w:szCs w:val="24"/>
        </w:rPr>
        <w:t>вания обеспечивается на деле [4</w:t>
      </w:r>
      <w:r>
        <w:rPr>
          <w:sz w:val="24"/>
          <w:szCs w:val="24"/>
        </w:rPr>
        <w:t xml:space="preserve">]. В делах </w:t>
      </w:r>
      <w:r>
        <w:rPr>
          <w:i/>
          <w:iCs/>
          <w:sz w:val="24"/>
          <w:szCs w:val="24"/>
        </w:rPr>
        <w:t xml:space="preserve">X, Y </w:t>
      </w:r>
      <w:proofErr w:type="spellStart"/>
      <w:r>
        <w:rPr>
          <w:i/>
          <w:iCs/>
          <w:sz w:val="24"/>
          <w:szCs w:val="24"/>
        </w:rPr>
        <w:t>and</w:t>
      </w:r>
      <w:proofErr w:type="spellEnd"/>
      <w:r>
        <w:rPr>
          <w:i/>
          <w:iCs/>
          <w:sz w:val="24"/>
          <w:szCs w:val="24"/>
        </w:rPr>
        <w:t xml:space="preserve"> Z</w:t>
      </w:r>
      <w:r>
        <w:rPr>
          <w:sz w:val="24"/>
          <w:szCs w:val="24"/>
        </w:rPr>
        <w:t xml:space="preserve"> (2013) заявители из Сьерра-Леоне, Уганды и Сенегала ссылались на преследование в связи с гомосексуальной ориентацией. Суд признал их «конкретной социальной группой», но потребовал доказать, что уголовное наказание</w:t>
      </w:r>
      <w:r w:rsidR="000F3CA7">
        <w:rPr>
          <w:sz w:val="24"/>
          <w:szCs w:val="24"/>
        </w:rPr>
        <w:t xml:space="preserve"> реально применяется [4</w:t>
      </w:r>
      <w:r>
        <w:rPr>
          <w:sz w:val="24"/>
          <w:szCs w:val="24"/>
        </w:rPr>
        <w:t xml:space="preserve">]. В деле </w:t>
      </w:r>
      <w:proofErr w:type="spellStart"/>
      <w:r>
        <w:rPr>
          <w:i/>
          <w:iCs/>
          <w:sz w:val="24"/>
          <w:szCs w:val="24"/>
        </w:rPr>
        <w:t>Ahmedbekova</w:t>
      </w:r>
      <w:proofErr w:type="spellEnd"/>
      <w:r>
        <w:rPr>
          <w:sz w:val="24"/>
          <w:szCs w:val="24"/>
        </w:rPr>
        <w:t xml:space="preserve"> (2018) Суд допустил, что риск преследования может вытекать из семейной связи с преследуемым лицом и что жалоба в ЕСПЧ может расцениваться ка</w:t>
      </w:r>
      <w:r w:rsidR="000F3CA7">
        <w:rPr>
          <w:sz w:val="24"/>
          <w:szCs w:val="24"/>
        </w:rPr>
        <w:t>к политическое инакомыслие [4</w:t>
      </w:r>
      <w:r>
        <w:rPr>
          <w:sz w:val="24"/>
          <w:szCs w:val="24"/>
        </w:rPr>
        <w:t xml:space="preserve">]. В делах </w:t>
      </w:r>
      <w:r>
        <w:rPr>
          <w:i/>
          <w:iCs/>
          <w:sz w:val="24"/>
          <w:szCs w:val="24"/>
        </w:rPr>
        <w:t xml:space="preserve">B </w:t>
      </w:r>
      <w:proofErr w:type="spellStart"/>
      <w:r>
        <w:rPr>
          <w:i/>
          <w:iCs/>
          <w:sz w:val="24"/>
          <w:szCs w:val="24"/>
        </w:rPr>
        <w:t>and</w:t>
      </w:r>
      <w:proofErr w:type="spellEnd"/>
      <w:r>
        <w:rPr>
          <w:i/>
          <w:iCs/>
          <w:sz w:val="24"/>
          <w:szCs w:val="24"/>
        </w:rPr>
        <w:t xml:space="preserve"> D</w:t>
      </w:r>
      <w:r>
        <w:rPr>
          <w:sz w:val="24"/>
          <w:szCs w:val="24"/>
        </w:rPr>
        <w:t xml:space="preserve"> (2010) Суд указал, что членство в террористической организации само по себе не влечёт исключения из статуса — необходима оценка ли</w:t>
      </w:r>
      <w:r w:rsidR="000F3CA7">
        <w:rPr>
          <w:sz w:val="24"/>
          <w:szCs w:val="24"/>
        </w:rPr>
        <w:t>чной ответственности [4</w:t>
      </w:r>
      <w:r>
        <w:rPr>
          <w:sz w:val="24"/>
          <w:szCs w:val="24"/>
        </w:rPr>
        <w:t>].</w:t>
      </w:r>
    </w:p>
    <w:p w:rsidR="007010AF" w:rsidRDefault="004E6197">
      <w:pPr>
        <w:ind w:firstLine="397"/>
        <w:jc w:val="both"/>
      </w:pPr>
      <w:r>
        <w:rPr>
          <w:sz w:val="24"/>
          <w:szCs w:val="24"/>
        </w:rPr>
        <w:t xml:space="preserve">Вместе с тем автономизация понятия «беженец» ограничена. Статья 78(1) ДФЕС подчиняет политику Союза в области убежища Конвенции 1951 года [5]. Статья 18 Хартии ЕС гарантирует право на убежище при соблюдении правил Конвенции [6]. Принцип </w:t>
      </w:r>
      <w:proofErr w:type="spellStart"/>
      <w:r>
        <w:rPr>
          <w:i/>
          <w:iCs/>
          <w:sz w:val="24"/>
          <w:szCs w:val="24"/>
        </w:rPr>
        <w:t>non-refoulement</w:t>
      </w:r>
      <w:proofErr w:type="spellEnd"/>
      <w:r>
        <w:rPr>
          <w:sz w:val="24"/>
          <w:szCs w:val="24"/>
        </w:rPr>
        <w:t xml:space="preserve"> (статья 33 Конвенции, статья 3 ЕКПЧ [1]) не допускает толкования, ослабляющего защиту лица от преследования, пыток или бесчеловечного обращения. Принятие Регламента (ЕС) 2024/1347 [7], заменившего Директиву 2011/95/ЕС, укрепляет эту тенденцию: регламент действует напрямую и сокращает возможности для расхождений между государствами-членами.</w:t>
      </w:r>
    </w:p>
    <w:p w:rsidR="007010AF" w:rsidRDefault="004E6197">
      <w:pPr>
        <w:ind w:firstLine="397"/>
        <w:jc w:val="both"/>
      </w:pPr>
      <w:r>
        <w:rPr>
          <w:sz w:val="24"/>
          <w:szCs w:val="24"/>
        </w:rPr>
        <w:t xml:space="preserve">Таким образом, понятие «беженец» в праве ЕС — ограниченно автономная конструкция: самостоятельная по способу толкования, но ограниченная Конвенцией 1951 года, принципом </w:t>
      </w:r>
      <w:proofErr w:type="spellStart"/>
      <w:r>
        <w:rPr>
          <w:i/>
          <w:iCs/>
          <w:sz w:val="24"/>
          <w:szCs w:val="24"/>
        </w:rPr>
        <w:t>non-refoulement</w:t>
      </w:r>
      <w:proofErr w:type="spellEnd"/>
      <w:r>
        <w:rPr>
          <w:sz w:val="24"/>
          <w:szCs w:val="24"/>
        </w:rPr>
        <w:t xml:space="preserve"> и Хартией ЕС, которые задают рамки, за которые Суд ЕС выйти не может.</w:t>
      </w:r>
    </w:p>
    <w:p w:rsidR="007010AF" w:rsidRDefault="007010AF"/>
    <w:p w:rsidR="007010AF" w:rsidRDefault="004E6197">
      <w:pPr>
        <w:jc w:val="center"/>
      </w:pPr>
      <w:r>
        <w:rPr>
          <w:b/>
          <w:bCs/>
          <w:sz w:val="24"/>
          <w:szCs w:val="24"/>
        </w:rPr>
        <w:t>Литература</w:t>
      </w:r>
    </w:p>
    <w:p w:rsidR="007010AF" w:rsidRDefault="004E6197">
      <w:pPr>
        <w:ind w:left="284" w:hanging="284"/>
        <w:jc w:val="both"/>
      </w:pPr>
      <w:r>
        <w:rPr>
          <w:sz w:val="24"/>
          <w:szCs w:val="24"/>
        </w:rPr>
        <w:t>1. Конвенция о защите прав человека и основных свобод ETS № 005. Рим, 4 ноября 1950 года.</w:t>
      </w:r>
    </w:p>
    <w:p w:rsidR="007010AF" w:rsidRDefault="004E6197">
      <w:pPr>
        <w:ind w:left="284" w:hanging="284"/>
        <w:jc w:val="both"/>
      </w:pPr>
      <w:r>
        <w:rPr>
          <w:sz w:val="24"/>
          <w:szCs w:val="24"/>
        </w:rPr>
        <w:t>2. Конвенция о статусе беженцев. Женева, 28 июля 1951 года.</w:t>
      </w:r>
    </w:p>
    <w:p w:rsidR="007010AF" w:rsidRPr="00B553B2" w:rsidRDefault="004E6197">
      <w:pPr>
        <w:ind w:left="284" w:hanging="284"/>
        <w:jc w:val="both"/>
        <w:rPr>
          <w:lang w:val="en-US"/>
        </w:rPr>
      </w:pPr>
      <w:r w:rsidRPr="000F3CA7">
        <w:rPr>
          <w:sz w:val="24"/>
          <w:szCs w:val="24"/>
          <w:lang w:val="en-US"/>
        </w:rPr>
        <w:t xml:space="preserve">3. CJEU. Case C-285/12. Diakité. ECLI:EU:C:2014:39. </w:t>
      </w:r>
      <w:r w:rsidRPr="00B553B2">
        <w:rPr>
          <w:sz w:val="24"/>
          <w:szCs w:val="24"/>
          <w:lang w:val="en-US"/>
        </w:rPr>
        <w:t>Judgment of 30 January 2014.</w:t>
      </w:r>
    </w:p>
    <w:p w:rsidR="007010AF" w:rsidRPr="000F3CA7" w:rsidRDefault="004E6197">
      <w:pPr>
        <w:ind w:left="284" w:hanging="284"/>
        <w:jc w:val="both"/>
        <w:rPr>
          <w:lang w:val="en-US"/>
        </w:rPr>
      </w:pPr>
      <w:r w:rsidRPr="000F3CA7">
        <w:rPr>
          <w:sz w:val="24"/>
          <w:szCs w:val="24"/>
          <w:lang w:val="en-US"/>
        </w:rPr>
        <w:t xml:space="preserve">4. CJEU. Joined Cases C-175/08 etc. </w:t>
      </w:r>
      <w:proofErr w:type="spellStart"/>
      <w:r w:rsidRPr="000F3CA7">
        <w:rPr>
          <w:sz w:val="24"/>
          <w:szCs w:val="24"/>
          <w:lang w:val="en-US"/>
        </w:rPr>
        <w:t>Salahadin</w:t>
      </w:r>
      <w:proofErr w:type="spellEnd"/>
      <w:r w:rsidRPr="000F3CA7">
        <w:rPr>
          <w:sz w:val="24"/>
          <w:szCs w:val="24"/>
          <w:lang w:val="en-US"/>
        </w:rPr>
        <w:t xml:space="preserve"> Abdulla. ECLI:EU:C:2010:105; Joined Cases C-199/12 to C-201/12. X, Y and Z. ECLI:EU:C:2013:720; Case C-652/16. </w:t>
      </w:r>
      <w:proofErr w:type="spellStart"/>
      <w:r w:rsidRPr="000F3CA7">
        <w:rPr>
          <w:sz w:val="24"/>
          <w:szCs w:val="24"/>
          <w:lang w:val="en-US"/>
        </w:rPr>
        <w:t>Ahmedbekova</w:t>
      </w:r>
      <w:proofErr w:type="spellEnd"/>
      <w:r w:rsidRPr="000F3CA7">
        <w:rPr>
          <w:sz w:val="24"/>
          <w:szCs w:val="24"/>
          <w:lang w:val="en-US"/>
        </w:rPr>
        <w:t>. ECLI:EU:C:2018:801; Joined Cases C-57/09 and C-101/09. B and D. ECLI:EU:C:2010:661.</w:t>
      </w:r>
    </w:p>
    <w:p w:rsidR="007010AF" w:rsidRPr="000F3CA7" w:rsidRDefault="004E6197">
      <w:pPr>
        <w:ind w:left="284" w:hanging="284"/>
        <w:jc w:val="both"/>
        <w:rPr>
          <w:lang w:val="en-US"/>
        </w:rPr>
      </w:pPr>
      <w:r w:rsidRPr="000F3CA7">
        <w:rPr>
          <w:sz w:val="24"/>
          <w:szCs w:val="24"/>
          <w:lang w:val="en-US"/>
        </w:rPr>
        <w:lastRenderedPageBreak/>
        <w:t xml:space="preserve">5. Consolidated version of the Treaty on the Functioning of the European Union // OJ EU. 2012. </w:t>
      </w:r>
      <w:r w:rsidRPr="00B553B2">
        <w:rPr>
          <w:sz w:val="24"/>
          <w:szCs w:val="24"/>
          <w:lang w:val="en-US"/>
        </w:rPr>
        <w:t xml:space="preserve">C 326. </w:t>
      </w:r>
      <w:r w:rsidRPr="000F3CA7">
        <w:rPr>
          <w:sz w:val="24"/>
          <w:szCs w:val="24"/>
          <w:lang w:val="en-US"/>
        </w:rPr>
        <w:t>Art. 78(1).</w:t>
      </w:r>
    </w:p>
    <w:p w:rsidR="007010AF" w:rsidRDefault="004E6197">
      <w:pPr>
        <w:ind w:left="284" w:hanging="284"/>
        <w:jc w:val="both"/>
      </w:pPr>
      <w:r w:rsidRPr="000F3CA7">
        <w:rPr>
          <w:sz w:val="24"/>
          <w:szCs w:val="24"/>
          <w:lang w:val="en-US"/>
        </w:rPr>
        <w:t xml:space="preserve">6. Charter of Fundamental Rights of the European Union // OJ EU. 2012. </w:t>
      </w:r>
      <w:r>
        <w:rPr>
          <w:sz w:val="24"/>
          <w:szCs w:val="24"/>
        </w:rPr>
        <w:t>C 326. Art. 18.</w:t>
      </w:r>
    </w:p>
    <w:p w:rsidR="007010AF" w:rsidRDefault="004E6197">
      <w:pPr>
        <w:ind w:left="284" w:hanging="284"/>
        <w:jc w:val="both"/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Regulation</w:t>
      </w:r>
      <w:proofErr w:type="spellEnd"/>
      <w:r>
        <w:rPr>
          <w:sz w:val="24"/>
          <w:szCs w:val="24"/>
        </w:rPr>
        <w:t xml:space="preserve"> (EU) 2024/1347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14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2024 // OJ EU. 2024. L 2024/1347.</w:t>
      </w:r>
    </w:p>
    <w:sectPr w:rsidR="007010AF">
      <w:pgSz w:w="11906" w:h="16838"/>
      <w:pgMar w:top="1134" w:right="1361" w:bottom="1134" w:left="136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B3FB1"/>
    <w:multiLevelType w:val="hybridMultilevel"/>
    <w:tmpl w:val="6CF0A836"/>
    <w:lvl w:ilvl="0" w:tplc="9CDE5E10">
      <w:start w:val="1"/>
      <w:numFmt w:val="bullet"/>
      <w:lvlText w:val="●"/>
      <w:lvlJc w:val="left"/>
      <w:pPr>
        <w:ind w:left="720" w:hanging="360"/>
      </w:pPr>
    </w:lvl>
    <w:lvl w:ilvl="1" w:tplc="F9D89DD8">
      <w:start w:val="1"/>
      <w:numFmt w:val="bullet"/>
      <w:lvlText w:val="○"/>
      <w:lvlJc w:val="left"/>
      <w:pPr>
        <w:ind w:left="1440" w:hanging="360"/>
      </w:pPr>
    </w:lvl>
    <w:lvl w:ilvl="2" w:tplc="CDA83B56">
      <w:start w:val="1"/>
      <w:numFmt w:val="bullet"/>
      <w:lvlText w:val="■"/>
      <w:lvlJc w:val="left"/>
      <w:pPr>
        <w:ind w:left="2160" w:hanging="360"/>
      </w:pPr>
    </w:lvl>
    <w:lvl w:ilvl="3" w:tplc="AC6643DE">
      <w:start w:val="1"/>
      <w:numFmt w:val="bullet"/>
      <w:lvlText w:val="●"/>
      <w:lvlJc w:val="left"/>
      <w:pPr>
        <w:ind w:left="2880" w:hanging="360"/>
      </w:pPr>
    </w:lvl>
    <w:lvl w:ilvl="4" w:tplc="0BF62C8C">
      <w:start w:val="1"/>
      <w:numFmt w:val="bullet"/>
      <w:lvlText w:val="○"/>
      <w:lvlJc w:val="left"/>
      <w:pPr>
        <w:ind w:left="3600" w:hanging="360"/>
      </w:pPr>
    </w:lvl>
    <w:lvl w:ilvl="5" w:tplc="5DAE4D58">
      <w:start w:val="1"/>
      <w:numFmt w:val="bullet"/>
      <w:lvlText w:val="■"/>
      <w:lvlJc w:val="left"/>
      <w:pPr>
        <w:ind w:left="4320" w:hanging="360"/>
      </w:pPr>
    </w:lvl>
    <w:lvl w:ilvl="6" w:tplc="96EC670C">
      <w:start w:val="1"/>
      <w:numFmt w:val="bullet"/>
      <w:lvlText w:val="●"/>
      <w:lvlJc w:val="left"/>
      <w:pPr>
        <w:ind w:left="5040" w:hanging="360"/>
      </w:pPr>
    </w:lvl>
    <w:lvl w:ilvl="7" w:tplc="BE6CDD4C">
      <w:start w:val="1"/>
      <w:numFmt w:val="bullet"/>
      <w:lvlText w:val="●"/>
      <w:lvlJc w:val="left"/>
      <w:pPr>
        <w:ind w:left="5760" w:hanging="360"/>
      </w:pPr>
    </w:lvl>
    <w:lvl w:ilvl="8" w:tplc="6D8ADEBE">
      <w:start w:val="1"/>
      <w:numFmt w:val="bullet"/>
      <w:lvlText w:val="●"/>
      <w:lvlJc w:val="left"/>
      <w:pPr>
        <w:ind w:left="6480" w:hanging="360"/>
      </w:pPr>
    </w:lvl>
  </w:abstractNum>
  <w:num w:numId="1" w16cid:durableId="18750746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0AF"/>
    <w:rsid w:val="000F3CA7"/>
    <w:rsid w:val="004E6197"/>
    <w:rsid w:val="006767FC"/>
    <w:rsid w:val="007010AF"/>
    <w:rsid w:val="00B5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9BE6"/>
  <w15:docId w15:val="{E6DCF12C-0C79-4142-BF59-F3E4A75B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Полина Косарева</cp:lastModifiedBy>
  <cp:revision>2</cp:revision>
  <dcterms:created xsi:type="dcterms:W3CDTF">2026-05-14T17:40:00Z</dcterms:created>
  <dcterms:modified xsi:type="dcterms:W3CDTF">2026-05-14T17:40:00Z</dcterms:modified>
</cp:coreProperties>
</file>