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07692">
      <w:pPr>
        <w:widowControl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ru-RU"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ru-RU" w:bidi="ar"/>
        </w:rPr>
        <w:t>Численное исследование устойчивости стационарных режимов распространения лазерного излучения в активных периодических квадратично-нелинейных средах</w:t>
      </w:r>
    </w:p>
    <w:p w14:paraId="7F7BFEF6">
      <w:pPr>
        <w:widowControl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val="ru-RU" w:bidi="ar"/>
        </w:rPr>
        <w:t>Чжоу Цзяи</w:t>
      </w:r>
    </w:p>
    <w:p w14:paraId="56B72E1C">
      <w:pPr>
        <w:widowControl/>
        <w:jc w:val="center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студентка</w:t>
      </w:r>
    </w:p>
    <w:p w14:paraId="20265E91">
      <w:pPr>
        <w:widowControl/>
        <w:jc w:val="center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Факультет ВМК МГУ-ППИ</w:t>
      </w:r>
    </w:p>
    <w:p w14:paraId="2ADA765A">
      <w:pPr>
        <w:widowControl/>
        <w:numPr>
          <w:ilvl w:val="0"/>
          <w:numId w:val="1"/>
        </w:numPr>
        <w:jc w:val="center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en-GB" w:bidi="ar"/>
        </w:rPr>
        <w:t>mail:2443495611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@qq.com</w:t>
      </w:r>
    </w:p>
    <w:p w14:paraId="11BDEAF7">
      <w:pPr>
        <w:widowControl/>
        <w:jc w:val="center"/>
        <w:rPr>
          <w:rFonts w:ascii="Times New Roman" w:hAnsi="Times New Roman" w:eastAsia="宋体" w:cs="Times New Roman"/>
          <w:color w:val="000000"/>
          <w:kern w:val="0"/>
          <w:sz w:val="24"/>
          <w:lang w:val="en-GB"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val="ru-RU" w:bidi="ar"/>
        </w:rPr>
        <w:t>Научный руководитель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en-GB" w:bidi="ar"/>
        </w:rPr>
        <w:t>-Т. М. Лысак</w:t>
      </w:r>
    </w:p>
    <w:p w14:paraId="76C70285">
      <w:pPr>
        <w:ind w:firstLine="420"/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В данной работе проведено теоретическое и численное исследование стационарных режимов </w:t>
      </w:r>
      <w:r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  <w:t>распространения лазерного излучения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в активных периодических средах </w:t>
      </w:r>
      <w:r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  <w:t xml:space="preserve">с квадратичной нелинейностью [1]. В основе математической модели лежит система четырех связанных уравнений Шредингера, описывающих взаимодействие прямых и обратных волн на основной и удвоенной частотах [2]. </w:t>
      </w:r>
    </w:p>
    <w:p w14:paraId="7B62A2B3">
      <w:pPr>
        <w:jc w:val="center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position w:val="-122"/>
          <w:sz w:val="24"/>
          <w:highlight w:val="none"/>
        </w:rPr>
        <w:object>
          <v:shape id="_x0000_i1025" o:spt="75" type="#_x0000_t75" style="height:128.2pt;width:283.1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 w14:paraId="7E2D13E0">
      <w:pPr>
        <w:ind w:firstLine="420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Модель учитывает брэгговскую связь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lang w:bidi="ar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kern w:val="0"/>
                <w:sz w:val="24"/>
                <w:lang w:bidi="ar"/>
              </w:rPr>
              <m:t>κ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lang w:bidi="ar"/>
              </w:rPr>
            </m:ctrlPr>
          </m:e>
          <m:sub>
            <m:r>
              <m:rPr/>
              <w:rPr>
                <w:rFonts w:ascii="Cambria Math" w:hAnsi="Cambria Math" w:cs="Times New Roman"/>
                <w:color w:val="000000"/>
                <w:kern w:val="0"/>
                <w:sz w:val="24"/>
                <w:lang w:val="ru-RU" w:bidi="ar"/>
              </w:rPr>
              <m:t>1,2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lang w:bidi="ar"/>
              </w:rPr>
            </m:ctrlPr>
          </m:sub>
        </m:sSub>
      </m:oMath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) и асимметричную брэгговскую связь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</w:rPr>
              <m:t>g</m:t>
            </m: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lang w:val="ru-RU"/>
              </w:rPr>
              <m:t>1,2</m:t>
            </m: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ub>
        </m:sSub>
      </m:oMath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) на обеих частотах и квадратичную нелинейность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lang w:val="en-GB"/>
              </w:rPr>
              <m:t>γ</m:t>
            </m: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lang w:val="ru-RU"/>
              </w:rPr>
              <m:t>1,2</m:t>
            </m: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sub>
        </m:sSub>
      </m:oMath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). Для рассматриваемой модели выведены законы изменения энергии, импульса и гамильтониана. Получен закон изменения потока энергии для стационарных режимов. Построены аналитические решения, описывающие стационарные режимы распространения лазерного излучения в линейном случае. Показано, что пространство параметров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lang w:val="en-GB"/>
              </w:rPr>
              <m:t>δ</m:t>
            </m: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lang w:val="ru-RU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sub>
        </m:sSub>
        <m:r>
          <m:rPr/>
          <w:rPr>
            <w:rFonts w:ascii="Cambria Math" w:hAnsi="Cambria Math" w:cs="Times New Roman"/>
            <w:sz w:val="24"/>
            <w:lang w:val="ru-RU"/>
          </w:rPr>
          <m:t xml:space="preserve"> 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lang w:val="en-GB"/>
              </w:rPr>
              <m:t>g</m:t>
            </m: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lang w:val="ru-RU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sub>
        </m:sSub>
      </m:oMath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) разделяется критической поверхностью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SubSupPr>
          <m:e>
            <m:r>
              <m:rPr/>
              <w:rPr>
                <w:rFonts w:ascii="Cambria Math" w:hAnsi="Cambria Math" w:cs="Times New Roman"/>
                <w:sz w:val="24"/>
                <w:lang w:val="en-GB"/>
              </w:rPr>
              <m:t>g</m:t>
            </m: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lang w:val="ru-RU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ub>
          <m:sup>
            <m:r>
              <m:rPr/>
              <w:rPr>
                <w:rFonts w:ascii="Cambria Math" w:hAnsi="Cambria Math" w:cs="Times New Roman"/>
                <w:sz w:val="24"/>
                <w:lang w:val="ru-RU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up>
        </m:sSubSup>
        <m:r>
          <m:rPr/>
          <w:rPr>
            <w:rFonts w:ascii="Cambria Math" w:hAnsi="Cambria Math" w:cs="Times New Roman"/>
            <w:sz w:val="24"/>
            <w:lang w:val="ru-RU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sSubSupPr>
          <m:e>
            <m:r>
              <m:rPr/>
              <w:rPr>
                <w:rFonts w:ascii="Cambria Math" w:hAnsi="Cambria Math" w:cs="Times New Roman"/>
                <w:sz w:val="24"/>
                <w:lang w:val="en-GB"/>
              </w:rPr>
              <m:t>δ</m:t>
            </m: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lang w:val="ru-RU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sub>
          <m:sup>
            <m:r>
              <m:rPr/>
              <w:rPr>
                <w:rFonts w:ascii="Cambria Math" w:hAnsi="Cambria Math" w:cs="Times New Roman"/>
                <w:sz w:val="24"/>
                <w:lang w:val="ru-RU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lang w:val="en-GB"/>
              </w:rPr>
            </m:ctrlPr>
          </m:sup>
        </m:sSubSup>
        <m:r>
          <m:rPr/>
          <w:rPr>
            <w:rFonts w:ascii="Cambria Math" w:hAnsi="Cambria Math" w:cs="Times New Roman"/>
            <w:sz w:val="24"/>
            <w:lang w:val="ru-RU"/>
          </w:rPr>
          <m:t>=</m:t>
        </m:r>
      </m:oMath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, определяющей переход между экспоненциальным затуханием и пространственными осцилляциями.</w:t>
      </w:r>
    </w:p>
    <w:p w14:paraId="12F92B23">
      <w:pPr>
        <w:ind w:firstLine="420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Для нелинейной среды численно построены стационарные решения и исследована их устойчивость на основе консервативной конечно-разностной схемы. В ходе численных экспериментов построены временные зависимости, иллюстрирующие развитие неустойчивости</w:t>
      </w:r>
      <w:r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  <w:t xml:space="preserve"> </w:t>
      </w:r>
      <w:r>
        <w:rPr>
          <w:rFonts w:ascii="Times New Roman" w:hAnsi="Times New Roman" w:eastAsia="宋体" w:cs="Times New Roman"/>
          <w:sz w:val="24"/>
          <w:highlight w:val="none"/>
          <w:lang w:val="ru-RU"/>
        </w:rPr>
        <w:t>и переход к предельному циклу</w:t>
      </w:r>
      <w:r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  <w:t xml:space="preserve"> при достаточно больших значениях параметра </w:t>
      </w:r>
      <m:oMath>
        <m:r>
          <m:rPr/>
          <w:rPr>
            <w:rFonts w:ascii="Cambria Math" w:hAnsi="Cambria Math" w:cs="Times New Roman"/>
            <w:sz w:val="24"/>
            <w:highlight w:val="none"/>
            <w:lang w:val="en-GB"/>
          </w:rPr>
          <m:t>γ</m:t>
        </m:r>
        <m:r>
          <m:rPr/>
          <w:rPr>
            <w:rFonts w:ascii="Cambria Math" w:hAnsi="Cambria Math" w:cs="Times New Roman"/>
            <w:sz w:val="24"/>
            <w:highlight w:val="none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highlight w:val="none"/>
                <w:lang w:val="en-GB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highlight w:val="none"/>
                <w:lang w:val="en-GB"/>
              </w:rPr>
              <m:t>γ</m:t>
            </m:r>
            <m:ctrlPr>
              <w:rPr>
                <w:rFonts w:ascii="Cambria Math" w:hAnsi="Cambria Math" w:cs="Times New Roman"/>
                <w:i/>
                <w:sz w:val="24"/>
                <w:highlight w:val="none"/>
                <w:lang w:val="en-GB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highlight w:val="none"/>
                <w:lang w:val="ru-RU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highlight w:val="none"/>
                <w:lang w:val="en-GB"/>
              </w:rPr>
            </m:ctrlPr>
          </m:sub>
        </m:sSub>
        <m:r>
          <m:rPr/>
          <w:rPr>
            <w:rFonts w:ascii="Cambria Math" w:hAnsi="Cambria Math" w:cs="Times New Roman"/>
            <w:sz w:val="24"/>
            <w:highlight w:val="none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highlight w:val="none"/>
                <w:lang w:val="en-GB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highlight w:val="none"/>
                <w:lang w:val="en-GB"/>
              </w:rPr>
              <m:t>γ</m:t>
            </m:r>
            <m:ctrlPr>
              <w:rPr>
                <w:rFonts w:ascii="Cambria Math" w:hAnsi="Cambria Math" w:cs="Times New Roman"/>
                <w:i/>
                <w:sz w:val="24"/>
                <w:highlight w:val="none"/>
                <w:lang w:val="en-GB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highlight w:val="none"/>
                <w:lang w:val="ru-RU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highlight w:val="none"/>
                <w:lang w:val="en-GB"/>
              </w:rPr>
            </m:ctrlPr>
          </m:sub>
        </m:sSub>
      </m:oMath>
      <w:r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  <w:t xml:space="preserve">. Продемонстрировано усложнение формы предельного цикла при увеличении значения параметра </w:t>
      </w:r>
      <m:oMath>
        <m:r>
          <m:rPr/>
          <w:rPr>
            <w:rFonts w:ascii="Cambria Math" w:hAnsi="Cambria Math" w:cs="Times New Roman"/>
            <w:sz w:val="24"/>
            <w:highlight w:val="none"/>
            <w:lang w:val="en-GB"/>
          </w:rPr>
          <m:t>γ</m:t>
        </m:r>
        <m:r>
          <m:rPr/>
          <w:rPr>
            <w:rFonts w:ascii="Cambria Math" w:hAnsi="Cambria Math" w:cs="Times New Roman"/>
            <w:sz w:val="24"/>
            <w:highlight w:val="none"/>
            <w:lang w:val="ru-RU"/>
          </w:rPr>
          <m:t>.</m:t>
        </m:r>
      </m:oMath>
      <w:r>
        <w:rPr>
          <w:rFonts w:ascii="Times New Roman" w:hAnsi="Cambria Math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  <w:t xml:space="preserve"> Численные эксперименты подтвердили также,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что стационарные решения устойчивы при малых значениях нелинейности, а знак параметра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</w:rPr>
              <m:t>g</m:t>
            </m: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lang w:val="ru-RU"/>
              </w:rPr>
              <m:t>1,2</m:t>
            </m: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ub>
        </m:sSub>
      </m:oMath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существенно влияет на устойчивость.</w:t>
      </w:r>
    </w:p>
    <w:p w14:paraId="0BC135E8">
      <w:pPr>
        <w:ind w:firstLine="420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drawing>
          <wp:inline distT="0" distB="0" distL="114300" distR="114300">
            <wp:extent cx="2160270" cy="2160270"/>
            <wp:effectExtent l="0" t="0" r="11430" b="11430"/>
            <wp:docPr id="1" name="图片 1" descr="b0a7d7741608da316bd7068dc725c3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a7d7741608da316bd7068dc725c342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    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drawing>
          <wp:inline distT="0" distB="0" distL="114300" distR="114300">
            <wp:extent cx="2160270" cy="2160270"/>
            <wp:effectExtent l="0" t="0" r="11430" b="11430"/>
            <wp:docPr id="2" name="图片 2" descr="90329e49c2dca77dca027fb4b825a24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329e49c2dca77dca027fb4b825a24a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130CB">
      <w:pPr>
        <w:ind w:firstLine="420"/>
        <w:jc w:val="center"/>
        <w:rPr>
          <w:rFonts w:hint="default" w:ascii="Times New Roman" w:hAnsi="Cambria Math" w:cs="Times New Roman"/>
          <w:i w:val="0"/>
          <w:sz w:val="24"/>
          <w:highlight w:val="none"/>
          <w:lang w:val="ru-RU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bidi="ar"/>
        </w:rPr>
        <w:t>Переход к предельному циклу при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</w:t>
      </w:r>
      <m:oMath>
        <m:r>
          <m:rPr/>
          <w:rPr>
            <w:rFonts w:ascii="Cambria Math" w:hAnsi="Cambria Math" w:cs="Times New Roman"/>
            <w:sz w:val="24"/>
            <w:highlight w:val="none"/>
            <w:lang w:val="en-GB"/>
          </w:rPr>
          <m:t>γ</m:t>
        </m:r>
      </m:oMath>
      <w:r>
        <w:rPr>
          <w:rFonts w:hint="default" w:ascii="Times New Roman" w:hAnsi="Cambria Math" w:cs="Times New Roman"/>
          <w:i w:val="0"/>
          <w:sz w:val="24"/>
          <w:highlight w:val="none"/>
          <w:lang w:val="ru-RU"/>
        </w:rPr>
        <w:t>=3,15</w:t>
      </w:r>
    </w:p>
    <w:p w14:paraId="361A46DA">
      <w:pPr>
        <w:ind w:firstLine="420"/>
        <w:jc w:val="center"/>
        <w:rPr>
          <w:rFonts w:hint="default" w:ascii="Times New Roman" w:hAnsi="Cambria Math" w:cs="Times New Roman"/>
          <w:i w:val="0"/>
          <w:sz w:val="24"/>
          <w:highlight w:val="none"/>
          <w:lang w:val="ru-RU"/>
        </w:rPr>
      </w:pPr>
    </w:p>
    <w:p w14:paraId="73E4A3B7">
      <w:pPr>
        <w:ind w:firstLine="42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ru-RU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ru-RU" w:bidi="ar"/>
        </w:rPr>
        <w:t>Литература</w:t>
      </w:r>
    </w:p>
    <w:p w14:paraId="75D72E9F">
      <w:pPr>
        <w:widowControl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eastAsia="TimesNewRomanPSMT" w:cs="Times New Roman"/>
          <w:kern w:val="0"/>
          <w:sz w:val="24"/>
          <w:highlight w:val="none"/>
          <w:lang w:eastAsia="ru-RU"/>
        </w:rPr>
      </w:pPr>
      <w:r>
        <w:rPr>
          <w:rFonts w:ascii="Times New Roman" w:hAnsi="Times New Roman" w:eastAsia="TimesNewRomanPSMT" w:cs="Times New Roman"/>
          <w:kern w:val="0"/>
          <w:sz w:val="24"/>
          <w:highlight w:val="none"/>
          <w:lang w:eastAsia="ru-RU"/>
        </w:rPr>
        <w:t>C.E. Rüter, K.G. Makris, R. El-Ganainy, D.N. Christodoulides, M. Segev, and D.Kip, “Observation of Parity-Time Symmetry in Optics,” Nature Physics, 6, 192-195 (2010).</w:t>
      </w:r>
    </w:p>
    <w:p w14:paraId="3D9B487F">
      <w:pPr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  <w:t xml:space="preserve">[2] </w:t>
      </w:r>
      <w:r>
        <w:rPr>
          <w:rFonts w:ascii="Times New Roman" w:hAnsi="Times New Roman" w:eastAsia="TimesNewRomanPSMT" w:cs="Times New Roman"/>
          <w:kern w:val="0"/>
          <w:sz w:val="24"/>
          <w:highlight w:val="none"/>
          <w:lang w:val="ru-RU" w:eastAsia="ru-RU"/>
        </w:rPr>
        <w:t>М.В. Комиссарова, И. Г. Захарова, Т. М. Лысак, А. А. Калинович, “Волновые пучки в активных периодических структурах с квадратичной нелинейностью”, Известия Российской академии наук. Серия физическая, 85(12):1720–1726, 2021.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CC3EA"/>
    <w:multiLevelType w:val="singleLevel"/>
    <w:tmpl w:val="B96CC3EA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6AFF32C0"/>
    <w:multiLevelType w:val="singleLevel"/>
    <w:tmpl w:val="6AFF32C0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560B9"/>
    <w:rsid w:val="00120ED0"/>
    <w:rsid w:val="0086539D"/>
    <w:rsid w:val="008A5B33"/>
    <w:rsid w:val="008F7AC1"/>
    <w:rsid w:val="008F7AFC"/>
    <w:rsid w:val="00954D38"/>
    <w:rsid w:val="00AD6DD8"/>
    <w:rsid w:val="00AF222C"/>
    <w:rsid w:val="00BB765F"/>
    <w:rsid w:val="00D92C22"/>
    <w:rsid w:val="00DE02FE"/>
    <w:rsid w:val="00F8218E"/>
    <w:rsid w:val="02A602E6"/>
    <w:rsid w:val="127E3DE4"/>
    <w:rsid w:val="4CB45C6C"/>
    <w:rsid w:val="536560B9"/>
    <w:rsid w:val="63D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1975</Characters>
  <Lines>16</Lines>
  <Paragraphs>4</Paragraphs>
  <TotalTime>5</TotalTime>
  <ScaleCrop>false</ScaleCrop>
  <LinksUpToDate>false</LinksUpToDate>
  <CharactersWithSpaces>2228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2026-03-27T07:35:00Z</dcterms:created>
  <dc:creator>AKM 丶PRMSN</dc:creator>
  <cp:lastModifiedBy>AKM 丶PRMSN</cp:lastModifiedBy>
  <dcterms:modified xsi:type="dcterms:W3CDTF">2026-03-27T08:30:49Z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92A27FB50AF3449C85071DD900B75EA1_13</vt:lpwstr>
  </property>
  <property fmtid="{D5CDD505-2E9C-101B-9397-08002B2CF9AE}" pid="4" name="KSOTemplateDocerSaveRecord">
    <vt:lpwstr>eyJoZGlkIjoiYmZiZjg5OWQyMmNkYjk4ODhmYWNiYmY4NTdiMTYyZWEiLCJ1c2VySWQiOiI1NzQyOTA3MjAifQ==</vt:lpwstr>
  </property>
</Properties>
</file>