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F" w:rsidRDefault="00402F8F" w:rsidP="00402F8F">
      <w:pPr>
        <w:pStyle w:val="1"/>
        <w:jc w:val="center"/>
      </w:pPr>
      <w:r w:rsidRPr="00402F8F">
        <w:t>Аннотация для темы</w:t>
      </w:r>
    </w:p>
    <w:p w:rsidR="007E1D00" w:rsidRDefault="00402F8F" w:rsidP="00402F8F">
      <w:pPr>
        <w:pStyle w:val="1"/>
        <w:jc w:val="center"/>
      </w:pPr>
      <w:r w:rsidRPr="00402F8F">
        <w:t>"Определение условий, при которых целесообразен переход на более высокие напряжения"</w:t>
      </w:r>
    </w:p>
    <w:p w:rsidR="00402F8F" w:rsidRDefault="00402F8F" w:rsidP="00402F8F"/>
    <w:p w:rsidR="005906D6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  <w:r w:rsidRPr="00402F8F">
        <w:rPr>
          <w:rFonts w:ascii="Times New Roman" w:hAnsi="Times New Roman" w:cs="Times New Roman"/>
          <w:sz w:val="32"/>
          <w:szCs w:val="32"/>
        </w:rPr>
        <w:br/>
        <w:t xml:space="preserve">В условиях развития промышленных предприятий, увеличения единичной мощности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электроприемников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и расширения территорий энергопотребления вопросы повышения уровня напряжения электроснабжения приобретают ключевое значение. </w:t>
      </w:r>
    </w:p>
    <w:p w:rsidR="005906D6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sz w:val="32"/>
          <w:szCs w:val="32"/>
        </w:rPr>
        <w:t xml:space="preserve">Переход на более высокое напряжение (с 6–10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на 20–35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и выше, либо с 0,4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на 6–10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) сопряжен со значительными капитальными затратами на реконструкцию сетей, трансформаторных подстанций и коммутационного оборудования. </w:t>
      </w:r>
    </w:p>
    <w:p w:rsidR="005906D6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sz w:val="32"/>
          <w:szCs w:val="32"/>
        </w:rPr>
        <w:t xml:space="preserve">Однако существующие методики выбора напряжения зачастую ориентированы на типовые решения без учета специфики конкретного объекта. </w:t>
      </w:r>
    </w:p>
    <w:p w:rsidR="00402F8F" w:rsidRPr="00402F8F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sz w:val="32"/>
          <w:szCs w:val="32"/>
        </w:rPr>
        <w:t>В данной работе рассматриваются системные критерии, позволяющие объективно определить экономическую и техническую границу перехода на следующую ступень напряжения, что обеспечивает снижение потерь электроэнергии, повышение надежности и оптимизацию долгосрочных инвестиционных затрат.</w:t>
      </w:r>
    </w:p>
    <w:p w:rsidR="00402F8F" w:rsidRDefault="00402F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02F8F" w:rsidRPr="00402F8F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Тезисы</w:t>
      </w:r>
    </w:p>
    <w:p w:rsidR="00402F8F" w:rsidRPr="00402F8F" w:rsidRDefault="00402F8F" w:rsidP="00402F8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>Экономическая целесообразность определяется соотношением приведенных затрат.</w:t>
      </w:r>
      <w:r w:rsidRPr="00402F8F">
        <w:rPr>
          <w:rFonts w:ascii="Times New Roman" w:hAnsi="Times New Roman" w:cs="Times New Roman"/>
          <w:sz w:val="32"/>
          <w:szCs w:val="32"/>
        </w:rPr>
        <w:br/>
        <w:t>Переход на более высокое напряжение становится оправданным, когда суммарные приведенные затраты на сооружение (реконструкцию) системы электроснабжения с учетом потерь электроэнергии оказываются ниже по сравнению с вариантом сохранения существующего уровня напряжения. Ключевым фактором здесь является пороговая длина кабельных или воздушных линий: при превышении определенн</w:t>
      </w:r>
      <w:r w:rsidR="005906D6">
        <w:rPr>
          <w:rFonts w:ascii="Times New Roman" w:hAnsi="Times New Roman" w:cs="Times New Roman"/>
          <w:sz w:val="32"/>
          <w:szCs w:val="32"/>
        </w:rPr>
        <w:t xml:space="preserve">ой длины (например, для 10 </w:t>
      </w:r>
      <w:proofErr w:type="spellStart"/>
      <w:r w:rsidR="005906D6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5906D6">
        <w:rPr>
          <w:rFonts w:ascii="Times New Roman" w:hAnsi="Times New Roman" w:cs="Times New Roman"/>
          <w:sz w:val="32"/>
          <w:szCs w:val="32"/>
        </w:rPr>
        <w:t xml:space="preserve"> против</w:t>
      </w:r>
      <w:bookmarkStart w:id="0" w:name="_GoBack"/>
      <w:bookmarkEnd w:id="0"/>
      <w:r w:rsidRPr="00402F8F"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>) затраты на компенсацию реактивной мощности и потери в линиях делают низкое напряжение экономически неэффективным.</w:t>
      </w:r>
    </w:p>
    <w:p w:rsidR="00402F8F" w:rsidRPr="00402F8F" w:rsidRDefault="00402F8F" w:rsidP="00402F8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 xml:space="preserve">Рост единичной мощности </w:t>
      </w:r>
      <w:proofErr w:type="spellStart"/>
      <w:r w:rsidRPr="00402F8F">
        <w:rPr>
          <w:rFonts w:ascii="Times New Roman" w:hAnsi="Times New Roman" w:cs="Times New Roman"/>
          <w:b/>
          <w:bCs/>
          <w:sz w:val="32"/>
          <w:szCs w:val="32"/>
        </w:rPr>
        <w:t>электроприемников</w:t>
      </w:r>
      <w:proofErr w:type="spellEnd"/>
      <w:r w:rsidRPr="00402F8F">
        <w:rPr>
          <w:rFonts w:ascii="Times New Roman" w:hAnsi="Times New Roman" w:cs="Times New Roman"/>
          <w:b/>
          <w:bCs/>
          <w:sz w:val="32"/>
          <w:szCs w:val="32"/>
        </w:rPr>
        <w:t xml:space="preserve"> требует повышения напряжения.</w:t>
      </w:r>
      <w:r w:rsidRPr="00402F8F">
        <w:rPr>
          <w:rFonts w:ascii="Times New Roman" w:hAnsi="Times New Roman" w:cs="Times New Roman"/>
          <w:sz w:val="32"/>
          <w:szCs w:val="32"/>
        </w:rPr>
        <w:br/>
        <w:t xml:space="preserve">При увеличении мощности одного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электроприемника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или группы технологически связанных нагрузок свыше значений, при которых токовая нагрузка на шинах 0,4–10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приближается к предельной по нагреву или превышает отключающую способность коммутационных аппаратов, переход на более высокое напряжение является технически необходимым. Это особенно актуально для промышленных предприятий с мощными электродвигателями (прокатные станы, компрессоры) и центров обработки данных.</w:t>
      </w:r>
    </w:p>
    <w:p w:rsidR="00402F8F" w:rsidRPr="00402F8F" w:rsidRDefault="00402F8F" w:rsidP="00402F8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>Условия ограниченной пропускной способности и высоких потерь.</w:t>
      </w:r>
      <w:r w:rsidRPr="00402F8F">
        <w:rPr>
          <w:rFonts w:ascii="Times New Roman" w:hAnsi="Times New Roman" w:cs="Times New Roman"/>
          <w:sz w:val="32"/>
          <w:szCs w:val="32"/>
        </w:rPr>
        <w:br/>
        <w:t xml:space="preserve">Целесообразность перехода обоснована при систематическом превышении допустимых потерь напряжения в сетях (нормируемых ГОСТ 32144–2013) и невозможности обеспечить качество электроэнергии без глубокого секционирования или установки дорогостоящих средств компенсации. Если расчетные потери активной мощности в распределительной сети превышают экономически обоснованный уровень (обычно 3–5% от передаваемой </w:t>
      </w:r>
      <w:r w:rsidRPr="00402F8F">
        <w:rPr>
          <w:rFonts w:ascii="Times New Roman" w:hAnsi="Times New Roman" w:cs="Times New Roman"/>
          <w:sz w:val="32"/>
          <w:szCs w:val="32"/>
        </w:rPr>
        <w:lastRenderedPageBreak/>
        <w:t>мощности), переход на более высокое напряжение становится предпочтительным.</w:t>
      </w:r>
    </w:p>
    <w:p w:rsidR="00402F8F" w:rsidRPr="00402F8F" w:rsidRDefault="00402F8F" w:rsidP="00402F8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>Необходимость повышения надежности и резервирования.</w:t>
      </w:r>
      <w:r w:rsidRPr="00402F8F">
        <w:rPr>
          <w:rFonts w:ascii="Times New Roman" w:hAnsi="Times New Roman" w:cs="Times New Roman"/>
          <w:sz w:val="32"/>
          <w:szCs w:val="32"/>
        </w:rPr>
        <w:br/>
        <w:t xml:space="preserve">В условиях, когда схема электроснабжения при существующем напряжении не позволяет реализовать требуемую категорию надежности (особенно для потребителей I и II категорий) без значительного усложнения схемы и увеличения количества ячеек, переход на более высокое напряжение (например, с построением кольцевых сетей 20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вместо радиальных 10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>) обеспечивает требуемый уровень бесперебойности питания при меньших эксплуатационных рисках.</w:t>
      </w:r>
    </w:p>
    <w:p w:rsidR="00402F8F" w:rsidRPr="00402F8F" w:rsidRDefault="00402F8F" w:rsidP="00402F8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t>Перспективы развития территории и присоединения новых мощностей.</w:t>
      </w:r>
      <w:r w:rsidRPr="00402F8F">
        <w:rPr>
          <w:rFonts w:ascii="Times New Roman" w:hAnsi="Times New Roman" w:cs="Times New Roman"/>
          <w:sz w:val="32"/>
          <w:szCs w:val="32"/>
        </w:rPr>
        <w:br/>
        <w:t>Переход на более высокое напряжение признается целесообразным при наличии долгосрочного плана развития территории (промышленной площадки, жилого массива), если суммарная перспективная нагрузка превышает пропускную способность существующей сети высшего напряжения. В этом случае единовременное строительство распределительной сети более высокого класса позволяет избежать многократной реконструкции и сократить срок окупаемости инвестиций.</w:t>
      </w:r>
    </w:p>
    <w:p w:rsidR="00402F8F" w:rsidRDefault="00402F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02F8F" w:rsidRPr="00402F8F" w:rsidRDefault="00402F8F" w:rsidP="00402F8F">
      <w:p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Источники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i/>
          <w:iCs/>
          <w:sz w:val="32"/>
          <w:szCs w:val="32"/>
        </w:rPr>
        <w:t>Правила устройства электроустановок (ПУЭ)</w:t>
      </w:r>
      <w:r w:rsidRPr="00402F8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6-е и </w:t>
      </w:r>
      <w:r w:rsidRPr="00402F8F">
        <w:rPr>
          <w:rFonts w:ascii="Times New Roman" w:hAnsi="Times New Roman" w:cs="Times New Roman"/>
          <w:sz w:val="32"/>
          <w:szCs w:val="32"/>
        </w:rPr>
        <w:t xml:space="preserve">7-е изд.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Издательство НЦ ЭНАС, 2021. — Гл. 1.2, 2.4, 2.5. (Нормативное обоснование выбора напряжений и требований к надежности).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i/>
          <w:iCs/>
          <w:sz w:val="32"/>
          <w:szCs w:val="32"/>
        </w:rPr>
        <w:t>ГОСТ 32144–2013</w:t>
      </w:r>
      <w:r w:rsidRPr="00402F8F">
        <w:rPr>
          <w:rFonts w:ascii="Times New Roman" w:hAnsi="Times New Roman" w:cs="Times New Roman"/>
          <w:sz w:val="32"/>
          <w:szCs w:val="32"/>
        </w:rPr>
        <w:t xml:space="preserve">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Стандартинформ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>, 2014. (Критерии качества напряжения).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i/>
          <w:iCs/>
          <w:sz w:val="32"/>
          <w:szCs w:val="32"/>
        </w:rPr>
        <w:t>Федоров, А. А., Старкова, Л. Е.</w:t>
      </w:r>
      <w:r w:rsidRPr="00402F8F">
        <w:rPr>
          <w:rFonts w:ascii="Times New Roman" w:hAnsi="Times New Roman" w:cs="Times New Roman"/>
          <w:sz w:val="32"/>
          <w:szCs w:val="32"/>
        </w:rPr>
        <w:t xml:space="preserve"> Основы электроснабжения промышленных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предприятий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учебник для вузов.</w:t>
      </w:r>
      <w:r>
        <w:rPr>
          <w:rFonts w:ascii="Times New Roman" w:hAnsi="Times New Roman" w:cs="Times New Roman"/>
          <w:sz w:val="32"/>
          <w:szCs w:val="32"/>
        </w:rPr>
        <w:t xml:space="preserve"> 3-е изд. </w:t>
      </w:r>
      <w:r w:rsidRPr="00402F8F">
        <w:rPr>
          <w:rFonts w:ascii="Times New Roman" w:hAnsi="Times New Roman" w:cs="Times New Roman"/>
          <w:sz w:val="32"/>
          <w:szCs w:val="32"/>
        </w:rPr>
        <w:t xml:space="preserve">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Энергоатомиздат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>, 2016. — 416 с. (Методики выбора напряжения и расчета приведенных затрат).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i/>
          <w:iCs/>
          <w:sz w:val="32"/>
          <w:szCs w:val="32"/>
        </w:rPr>
        <w:t>Кудрин, Б. И.</w:t>
      </w:r>
      <w:r w:rsidRPr="00402F8F">
        <w:rPr>
          <w:rFonts w:ascii="Times New Roman" w:hAnsi="Times New Roman" w:cs="Times New Roman"/>
          <w:sz w:val="32"/>
          <w:szCs w:val="32"/>
        </w:rPr>
        <w:t> Электросна</w:t>
      </w:r>
      <w:r>
        <w:rPr>
          <w:rFonts w:ascii="Times New Roman" w:hAnsi="Times New Roman" w:cs="Times New Roman"/>
          <w:sz w:val="32"/>
          <w:szCs w:val="32"/>
        </w:rPr>
        <w:t>бжение промышленных предприятий</w:t>
      </w:r>
      <w:r w:rsidRPr="00402F8F">
        <w:rPr>
          <w:rFonts w:ascii="Times New Roman" w:hAnsi="Times New Roman" w:cs="Times New Roman"/>
          <w:sz w:val="32"/>
          <w:szCs w:val="32"/>
        </w:rPr>
        <w:t xml:space="preserve">: учебник. — 2-е изд., перераб. и доп.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Издательский дом МЭИ, 2018. — 672 с. (Подходы к оценке целесообразности повышения напряжения при росте нагрузок).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РД 153-34.0-20.527-98</w:t>
      </w:r>
      <w:r w:rsidRPr="00402F8F">
        <w:rPr>
          <w:rFonts w:ascii="Times New Roman" w:hAnsi="Times New Roman" w:cs="Times New Roman"/>
          <w:sz w:val="32"/>
          <w:szCs w:val="32"/>
        </w:rPr>
        <w:t xml:space="preserve">. Руководящие указания по расчёту токов короткого замыкания и выбору электрооборудования.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РАО «ЕЭС России», 1999. (Инженерная методика определения экономически оптимального напряжения).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sz w:val="32"/>
          <w:szCs w:val="32"/>
        </w:rPr>
        <w:t xml:space="preserve">*Справочник по проектированию электроснабжения / под ред. Ю. Г. Барыбина.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М.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Энергоатомиздат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>, 2017. — 576 с. (Таблицы экономических интервалов мощности и длин линий для различных напряжений).</w:t>
      </w:r>
    </w:p>
    <w:p w:rsidR="00402F8F" w:rsidRPr="00402F8F" w:rsidRDefault="00402F8F" w:rsidP="00402F8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02F8F">
        <w:rPr>
          <w:rFonts w:ascii="Times New Roman" w:hAnsi="Times New Roman" w:cs="Times New Roman"/>
          <w:i/>
          <w:iCs/>
          <w:sz w:val="32"/>
          <w:szCs w:val="32"/>
        </w:rPr>
        <w:t xml:space="preserve">Поспелов, Г. Е., </w:t>
      </w:r>
      <w:r>
        <w:rPr>
          <w:rFonts w:ascii="Times New Roman" w:hAnsi="Times New Roman" w:cs="Times New Roman"/>
          <w:i/>
          <w:iCs/>
          <w:sz w:val="32"/>
          <w:szCs w:val="32"/>
        </w:rPr>
        <w:t>Федин, В. Т</w:t>
      </w:r>
      <w:r w:rsidRPr="00402F8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402F8F">
        <w:rPr>
          <w:rFonts w:ascii="Times New Roman" w:hAnsi="Times New Roman" w:cs="Times New Roman"/>
          <w:sz w:val="32"/>
          <w:szCs w:val="32"/>
        </w:rPr>
        <w:t xml:space="preserve"> Электрические системы и сети.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Проектирование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учебное пособие. — </w:t>
      </w:r>
      <w:proofErr w:type="gramStart"/>
      <w:r w:rsidRPr="00402F8F">
        <w:rPr>
          <w:rFonts w:ascii="Times New Roman" w:hAnsi="Times New Roman" w:cs="Times New Roman"/>
          <w:sz w:val="32"/>
          <w:szCs w:val="32"/>
        </w:rPr>
        <w:t>Минск :</w:t>
      </w:r>
      <w:proofErr w:type="gramEnd"/>
      <w:r w:rsidRPr="00402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F8F"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 w:rsidRPr="00402F8F">
        <w:rPr>
          <w:rFonts w:ascii="Times New Roman" w:hAnsi="Times New Roman" w:cs="Times New Roman"/>
          <w:sz w:val="32"/>
          <w:szCs w:val="32"/>
        </w:rPr>
        <w:t xml:space="preserve"> школа, 2019. — 308 с. (Анализ переходов на повышенное напряжение в распределительных сетях).</w:t>
      </w:r>
    </w:p>
    <w:p w:rsidR="00402F8F" w:rsidRPr="00402F8F" w:rsidRDefault="00402F8F" w:rsidP="00402F8F">
      <w:pPr>
        <w:rPr>
          <w:rFonts w:ascii="Times New Roman" w:hAnsi="Times New Roman" w:cs="Times New Roman"/>
          <w:sz w:val="32"/>
          <w:szCs w:val="32"/>
        </w:rPr>
      </w:pPr>
    </w:p>
    <w:sectPr w:rsidR="00402F8F" w:rsidRPr="0040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355C"/>
    <w:multiLevelType w:val="multilevel"/>
    <w:tmpl w:val="8CC4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358B5"/>
    <w:multiLevelType w:val="multilevel"/>
    <w:tmpl w:val="AF9A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6"/>
    <w:rsid w:val="00402F8F"/>
    <w:rsid w:val="005906D6"/>
    <w:rsid w:val="007E1D00"/>
    <w:rsid w:val="00DA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1136"/>
  <w15:chartTrackingRefBased/>
  <w15:docId w15:val="{FC15C612-0F27-4F04-B0CB-146AD31F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2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2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Оззик</dc:creator>
  <cp:keywords/>
  <dc:description/>
  <cp:lastModifiedBy>Оззик</cp:lastModifiedBy>
  <cp:revision>2</cp:revision>
  <dcterms:created xsi:type="dcterms:W3CDTF">2026-03-30T03:41:00Z</dcterms:created>
  <dcterms:modified xsi:type="dcterms:W3CDTF">2026-03-30T03:52:00Z</dcterms:modified>
</cp:coreProperties>
</file>