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tabs>
          <w:tab w:val="center" w:leader="none" w:pos="4677"/>
          <w:tab w:val="left" w:leader="none" w:pos="7575"/>
        </w:tabs>
        <w:spacing w:after="0" w:lineRule="auto" w:line="36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ab/>
      </w:r>
    </w:p>
    <w:p>
      <w:pPr>
        <w:pStyle w:val="style0"/>
        <w:widowControl w:val="false"/>
        <w:spacing w:after="0" w:lineRule="auto" w:line="360"/>
        <w:ind w:firstLine="709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Тема: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СОВРЕМЕННЫЕ СПОСОБЫ УПРАВЛЕНИЯ ПОЖАРНОЙ БЕЗОПАСНОСТИ НА ПРИМЕРЕ ПАО «ДАЛЬНЕВОСТОЧНАЯ ЭНЕРГЕТИЧЕСКАЯ КОМПАНИЯ»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val="ru-RU"/>
        </w:rPr>
      </w:pPr>
    </w:p>
    <w:p>
      <w:pPr>
        <w:pStyle w:val="style1"/>
        <w:spacing w:before="0" w:lineRule="auto" w:line="360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ТЕОРЕТИЧЕСКАЯ ИССЛЕДОВАНИЕ СОСТОЯНИЯ ПОЖАРНОЙ БЕЗОПАСНОСТИ В ПАО «ДЭК» «САХАЛИНЭНЕРГОСБЫТ</w:t>
      </w:r>
      <w:bookmarkStart w:id="0" w:name="_heading=h.wh5uy1tr0rrt" w:colFirst="0" w:colLast="0"/>
      <w:bookmarkEnd w:id="0"/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Охрана труда — одна из приоритетных задач любой компании нефтесервисного сегмента. В условиях высокой степени риска и повышенной технологической сложности работ эффективная система управления охраной труда (УОТ) становится ключевым фактором обеспечения безопасности персонала и стабильности производственного процесса. Нефтесервисная компания Шлюмберже Восток, являясь дочерним предприятием глобального лидера отрасли, активно внедряет современные методы и технологии, направленные на совершенствование системы охраны труда, минимизацию травматизма и повышение культуры безопасности.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Современные методы усовершенствования системы управления охраной труда в нефтесервисной компании Шлюмберже Восток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Особенности охраны труда в нефтесервисной компании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Нефтесервис характеризуется: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Высоким уровнем производственных рисков, связанным с применением тяжелого оборудования и опасных химических веществ.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Работой в сложных климатических и географических условиях (в т.ч. Крайний Север, степи, пустыни).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Необходимостью строгого соблюдения нормативов и международных стандартов безопасности.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В таких условиях системы управления охраной труда должны быть гибкими, технологически оснащёнными и ориентированными на постоянное улучшение.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Современные методы усовершенствования системы управления охраной труда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1. Использование цифровых технологий и цифровизация процессов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Системы электронного мониторинга и контроля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Применение носимых устройств (например, умных браслетов, датчиков окружающей среды) для отслеживания состояния здоровья и безопасности сотрудников в реальном времени. Например: мониторинг биомаркеров стресса, температуры, токсичных газов.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ERP и специализированные ПО для охраны труда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Внедрение комплексных программных решений для управления рисками, учёта происшествий, планирования инструктажей и обучения. Автоматизация документооборота и отчетности повышают точность и оперативность.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Аналитика больших данных (Big Data)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Сбор и анализ данных о несчастных случаях, инцидентах и тревожных сигналах для проактивного выявления и устранения потенциальных опасностей.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2. Внедрение системы управленческого контроля и культуры безопасности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Повышение ответственности руководителей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Привлечение менеджеров всех уровней к непосредственному контролю выполнения норм охраны труда, включая систему KPI и мотивации по безопасности.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Программа «Безопасность — общая ответственность»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Формирование корпоративной культуры через регулярные тренинги, обучение сотрудников методам безопасной работы, развитие навыков быстрого реагирования и оказания первой помощи.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Инструменты обратной связи и вовлечения персонала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Регулярные опросы, «безопасные линии» для сообщения о нарушениях, система поощрения за предложения и выявленные риски.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3. Совершенствование оценки рисков и планирование мероприятий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Использование методик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Комплексный подход к идентификации потенциальных опасностей на этапах проектирования, планирования и эксплуатации оборудования.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Моделирование аварийных ситуаций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Применение симуляторов и тренажеров для отработки действий персонала в условиях ЧП и повышения готовности к ним.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Постоянный мониторинг и корректировка планов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Внедрение циклов PDCA (Plan-Do-Check-Act) для планирования, реализации, проверки и улучшения охраны труда.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4. Обучение и повышение квалификации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Интерактивные обучающие программы и VR-тренажёры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Использование виртуальной реальности для имитации производственных ситуаций с высокими рисками, что позволяет безопасно отработать сложные навыки.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Регулярные сертификации и тестирования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Контроль знаний и умений сотрудников по охране труда с помощью тестов и подтверждающих документов.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Обучение локальных тренеров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Развитие внутреннего кадрового резерву, способного проводить обучение и консультирование сотрудников на местах.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5. Внедрение экологических и психофизиологических аспектов безопасности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Учет усталости и стресса персонала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Внедрение графиков работы и отдыхов, позволяющих минимизировать риски за счет оптимизации рабочего времени.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Мониторинг микроклимата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Контроль параметров окружающей среды (влажность, температура, загрязненность) для создания безопасных условий труда.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Экологическая безопасность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Совместное решение задач охраны труда и охраны окружающей среды для предотвращения производственных аварий.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val="ru-RU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1"/>
        <w:spacing w:before="0" w:lineRule="auto" w:line="360"/>
        <w:ind w:firstLine="709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ru-RU"/>
        </w:rPr>
        <w:t>СПИСОК ЛИТЕРАТУРЫ</w:t>
      </w:r>
    </w:p>
    <w:p>
      <w:pPr>
        <w:pStyle w:val="style0"/>
        <w:spacing w:after="0" w:lineRule="auto" w:line="360"/>
        <w:ind w:firstLine="709"/>
        <w:rPr>
          <w:sz w:val="28"/>
          <w:szCs w:val="28"/>
          <w:lang w:val="ru-RU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Федеральный закон № 123-ФЗ от 22.07.2008 г. «Технический регламент о требованиях пожарной безопасности» (с изменениями на 14 июля 2022 года). – М.: Официальный интернет-портал правовой информации, 2022. – 123 с.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Брушлинский Н. Н. Моделирование пожаров и взрывов: монография / Н. Н. Брушлинский, А. Я.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Корольченко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, С. В. Пузач. – М.: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Пожнаука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2022. – 223 с.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Есин В. М. Пожарная безопасность электроустановок: учебное пособие / В. М. Есин, В. И. Сидорук, В. Н. Токарев. – М.: АГПС, 2019. – 377 с.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Здор В. Л. Адресно-аналоговые системы пожарной сигнализации: учебное пособие / В. Л. Здор. – М.: Эксмо-Пресс, 2020. – 272 с.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Карпов А. П. Огнетушители. Устройство, испытание, выбор, применение, техническое обслуживание и перезарядка: учебно-методическое пособие / А. П. Карпов. – М.: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Пожнаука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2019. – 235 с.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09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sectPr>
      <w:headerReference w:type="default" r:id="rId2"/>
      <w:pgSz w:w="11906" w:h="16838" w:orient="portrait"/>
      <w:pgMar w:top="1134" w:right="851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77"/>
        <w:tab w:val="right" w:leader="none" w:pos="9355"/>
      </w:tabs>
      <w:spacing w:after="0" w:lineRule="auto" w:line="240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</w:r>
    <w:r>
      <w:rPr>
        <w:rFonts w:ascii="Times New Roman" w:cs="Times New Roman" w:eastAsia="Times New Roman" w:hAnsi="Times New Roman"/>
        <w:color w:val="000000"/>
        <w:sz w:val="24"/>
        <w:szCs w:val="24"/>
      </w:rPr>
      <w:instrText>PAGE</w:instrText>
    </w:r>
    <w:r>
      <w:rPr>
        <w:rFonts w:ascii="Times New Roman" w:cs="Times New Roman" w:eastAsia="Times New Roman" w:hAnsi="Times New Roman"/>
        <w:color w:val="000000"/>
        <w:sz w:val="24"/>
        <w:szCs w:val="24"/>
      </w:rPr>
      <w:fldChar w:fldCharType="separate"/>
    </w:r>
    <w:r>
      <w:rPr>
        <w:rFonts w:ascii="Times New Roman" w:cs="Times New Roman" w:eastAsia="Times New Roman" w:hAnsi="Times New Roman"/>
        <w:noProof/>
        <w:color w:val="000000"/>
        <w:sz w:val="24"/>
        <w:szCs w:val="24"/>
      </w:rPr>
      <w:t>2</w:t>
    </w:r>
    <w:r>
      <w:rPr>
        <w:rFonts w:ascii="Times New Roman" w:cs="Times New Roman" w:eastAsia="Times New Roman" w:hAnsi="Times New Roman"/>
        <w:color w:val="000000"/>
        <w:sz w:val="24"/>
        <w:szCs w:val="24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77"/>
        <w:tab w:val="right" w:leader="none" w:pos="9355"/>
      </w:tabs>
      <w:spacing w:after="0" w:lineRule="auto" w:line="240"/>
      <w:rPr>
        <w:rFonts w:ascii="Times New Roman" w:cs="Times New Roman" w:eastAsia="Times New Roman" w:hAnsi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E88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">
    <w:nsid w:val="00000001"/>
    <w:multiLevelType w:val="multilevel"/>
    <w:tmpl w:val="1B10BB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nsid w:val="00000002"/>
    <w:multiLevelType w:val="multilevel"/>
    <w:tmpl w:val="117AC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nsid w:val="00000003"/>
    <w:multiLevelType w:val="multilevel"/>
    <w:tmpl w:val="D8A49F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nsid w:val="00000004"/>
    <w:multiLevelType w:val="multilevel"/>
    <w:tmpl w:val="E7F406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nsid w:val="00000005"/>
    <w:multiLevelType w:val="multilevel"/>
    <w:tmpl w:val="D0D4F5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nsid w:val="00000006"/>
    <w:multiLevelType w:val="multilevel"/>
    <w:tmpl w:val="F22AB8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nsid w:val="00000007"/>
    <w:multiLevelType w:val="multilevel"/>
    <w:tmpl w:val="F5AC71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nsid w:val="00000008"/>
    <w:multiLevelType w:val="multilevel"/>
    <w:tmpl w:val="00BC85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nsid w:val="00000009"/>
    <w:multiLevelType w:val="multilevel"/>
    <w:tmpl w:val="9BEAD6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000000A"/>
    <w:multiLevelType w:val="multilevel"/>
    <w:tmpl w:val="EC04F1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40" w:after="0"/>
      <w:outlineLvl w:val="3"/>
    </w:pPr>
    <w:rPr>
      <w:i/>
      <w:iCs/>
      <w:color w:val="2f5496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40" w:after="0"/>
      <w:outlineLvl w:val="4"/>
    </w:pPr>
    <w:rPr>
      <w:color w:val="2f549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style4098">
    <w:name w:val="Заголовок 1 Знак"/>
    <w:basedOn w:val="style65"/>
    <w:next w:val="style4098"/>
    <w:uiPriority w:val="9"/>
    <w:rPr>
      <w:rFonts w:ascii="Calibri Light" w:cs="宋体" w:eastAsia="宋体" w:hAnsi="Calibri Light"/>
      <w:color w:val="2f5496"/>
      <w:sz w:val="32"/>
      <w:szCs w:val="32"/>
    </w:rPr>
  </w:style>
  <w:style w:type="paragraph" w:styleId="style179">
    <w:name w:val="List Paragraph"/>
    <w:next w:val="style179"/>
    <w:qFormat/>
    <w:uiPriority w:val="34"/>
    <w:pPr>
      <w:ind w:left="720"/>
      <w:contextualSpacing/>
    </w:pPr>
    <w:rPr/>
  </w:style>
  <w:style w:type="paragraph" w:styleId="style31">
    <w:name w:val="header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</w:style>
  <w:style w:type="paragraph" w:styleId="style32">
    <w:name w:val="footer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</w:style>
  <w:style w:type="paragraph" w:styleId="style29">
    <w:name w:val="footnote text"/>
    <w:next w:val="style29"/>
    <w:link w:val="style4101"/>
    <w:uiPriority w:val="99"/>
    <w:pPr>
      <w:spacing w:after="0" w:lineRule="auto" w:line="240"/>
    </w:pPr>
    <w:rPr>
      <w:sz w:val="20"/>
      <w:szCs w:val="20"/>
    </w:rPr>
  </w:style>
  <w:style w:type="character" w:customStyle="1" w:styleId="style4101">
    <w:name w:val="Текст сноски Знак"/>
    <w:basedOn w:val="style65"/>
    <w:next w:val="style4101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2">
    <w:name w:val="Неразрешенное упоминание1"/>
    <w:basedOn w:val="style65"/>
    <w:next w:val="style4102"/>
    <w:uiPriority w:val="99"/>
    <w:rPr>
      <w:color w:val="605e5c"/>
      <w:shd w:val="clear" w:color="auto" w:fill="e1dfdd"/>
    </w:rPr>
  </w:style>
  <w:style w:type="character" w:customStyle="1" w:styleId="style4103">
    <w:name w:val="Заголовок 4 Знак"/>
    <w:basedOn w:val="style65"/>
    <w:next w:val="style4103"/>
    <w:uiPriority w:val="9"/>
    <w:rPr>
      <w:rFonts w:ascii="Calibri Light" w:cs="宋体" w:eastAsia="宋体" w:hAnsi="Calibri Light"/>
      <w:i/>
      <w:iCs/>
      <w:color w:val="2f5496"/>
    </w:rPr>
  </w:style>
  <w:style w:type="character" w:customStyle="1" w:styleId="style4104">
    <w:name w:val="Заголовок 3 Знак"/>
    <w:basedOn w:val="style65"/>
    <w:next w:val="style4104"/>
    <w:uiPriority w:val="9"/>
    <w:rPr>
      <w:rFonts w:ascii="Calibri Light" w:cs="宋体" w:eastAsia="宋体" w:hAnsi="Calibri Light"/>
      <w:color w:val="1f3763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266">
    <w:name w:val="TOC Heading"/>
    <w:next w:val="style266"/>
    <w:qFormat/>
    <w:uiPriority w:val="39"/>
    <w:pPr/>
  </w:style>
  <w:style w:type="paragraph" w:styleId="style19">
    <w:name w:val="toc 1"/>
    <w:next w:val="style19"/>
    <w:uiPriority w:val="39"/>
    <w:pPr>
      <w:spacing w:after="100"/>
    </w:pPr>
    <w:rPr/>
  </w:style>
  <w:style w:type="character" w:customStyle="1" w:styleId="style4105">
    <w:name w:val="Заголовок 5 Знак"/>
    <w:basedOn w:val="style65"/>
    <w:next w:val="style4105"/>
    <w:uiPriority w:val="9"/>
    <w:rPr>
      <w:rFonts w:ascii="Calibri Light" w:cs="宋体" w:eastAsia="宋体" w:hAnsi="Calibri Light"/>
      <w:color w:val="2f5496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table" w:customStyle="1" w:styleId="style4106">
    <w:basedOn w:val="style4097"/>
    <w:next w:val="style410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8AcUPqcmpvK9n0uqaWFG0cGxQ==">CgMxLjAaJQoBMBIgCh4IB0IaCg9UaW1lcyBOZXcgUm9tYW4SB0d1bmdzdWgaJQoBMRIgCh4IB0IaCg9UaW1lcyBOZXcgUm9tYW4SB0d1bmdzdWgyDmgud2g1dXkxdHIwcnJ0OAByITFndlZGZXFfRlc1VVR5SVZOcE9laktSSkhvNXQxYURsMg==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614</Words>
  <Pages>5</Pages>
  <Characters>4628</Characters>
  <Application>WPS Office</Application>
  <DocSecurity>0</DocSecurity>
  <Paragraphs>93</Paragraphs>
  <ScaleCrop>false</ScaleCrop>
  <LinksUpToDate>false</LinksUpToDate>
  <CharactersWithSpaces>5203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2026-02-17T10:39:00Z</dcterms:created>
  <dc:creator>Таня</dc:creator>
  <lastModifiedBy>SM-G990B</lastModifiedBy>
  <dcterms:modified xsi:type="dcterms:W3CDTF">2026-02-17T12:29:27Z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c08c03b12f94459ea6c7fc45f0ceb6df</vt:lpwstr>
  </property>
</Properties>
</file>