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D0E8" w14:textId="26216DF9" w:rsidR="00D10D39" w:rsidRDefault="00D10D39" w:rsidP="004C7C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C2A">
        <w:rPr>
          <w:rFonts w:ascii="Times New Roman" w:hAnsi="Times New Roman" w:cs="Times New Roman"/>
          <w:bCs/>
          <w:sz w:val="28"/>
          <w:szCs w:val="28"/>
        </w:rPr>
        <w:t>Переводческие стратегии передачи имён собственных в современном художественном дискурсе</w:t>
      </w:r>
    </w:p>
    <w:p w14:paraId="5C20307E" w14:textId="13777C48" w:rsidR="004C7C2A" w:rsidRDefault="004C7C2A" w:rsidP="004C7C2A">
      <w:pPr>
        <w:spacing w:line="240" w:lineRule="auto"/>
        <w:ind w:firstLineChars="295" w:firstLine="708"/>
        <w:jc w:val="right"/>
        <w:rPr>
          <w:bCs/>
          <w:i/>
        </w:rPr>
      </w:pPr>
      <w:proofErr w:type="spellStart"/>
      <w:r>
        <w:rPr>
          <w:bCs/>
          <w:i/>
        </w:rPr>
        <w:t>Сединкина</w:t>
      </w:r>
      <w:proofErr w:type="spellEnd"/>
      <w:r>
        <w:rPr>
          <w:bCs/>
          <w:i/>
        </w:rPr>
        <w:t xml:space="preserve"> Анастасия</w:t>
      </w:r>
      <w:r w:rsidR="0063429B" w:rsidRPr="0063429B">
        <w:rPr>
          <w:bCs/>
          <w:i/>
        </w:rPr>
        <w:t xml:space="preserve"> </w:t>
      </w:r>
      <w:proofErr w:type="gramStart"/>
      <w:r w:rsidR="0063429B">
        <w:rPr>
          <w:bCs/>
          <w:i/>
        </w:rPr>
        <w:t>Андреевна</w:t>
      </w:r>
      <w:r>
        <w:rPr>
          <w:bCs/>
          <w:i/>
        </w:rPr>
        <w:t xml:space="preserve"> ,</w:t>
      </w:r>
      <w:proofErr w:type="gramEnd"/>
    </w:p>
    <w:p w14:paraId="59F12E4F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 xml:space="preserve">ФГБОУ ВО «Адыгейский государственный университет», </w:t>
      </w:r>
    </w:p>
    <w:p w14:paraId="148A730E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>г. Майкоп</w:t>
      </w:r>
    </w:p>
    <w:p w14:paraId="1E6C9836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 xml:space="preserve"> Научный руководитель: </w:t>
      </w:r>
      <w:proofErr w:type="spellStart"/>
      <w:r>
        <w:rPr>
          <w:i/>
          <w:iCs/>
        </w:rPr>
        <w:t>Лоова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Асьят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Джираслановна</w:t>
      </w:r>
      <w:proofErr w:type="spellEnd"/>
      <w:r>
        <w:rPr>
          <w:i/>
          <w:iCs/>
        </w:rPr>
        <w:t xml:space="preserve">, </w:t>
      </w:r>
    </w:p>
    <w:p w14:paraId="471804F7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>к. филол. наук, доцент,</w:t>
      </w:r>
    </w:p>
    <w:p w14:paraId="7F835E27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>доцент кафедры французской и немецкой филологии</w:t>
      </w:r>
    </w:p>
    <w:p w14:paraId="6DC009FB" w14:textId="77777777" w:rsidR="004C7C2A" w:rsidRDefault="004C7C2A" w:rsidP="004C7C2A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>ФГБОУ ВО «Адыгейский государственный университет»,</w:t>
      </w:r>
    </w:p>
    <w:p w14:paraId="66CB2A5F" w14:textId="536979F1" w:rsidR="00D10D39" w:rsidRPr="00A206B9" w:rsidRDefault="004C7C2A" w:rsidP="00A206B9">
      <w:pPr>
        <w:spacing w:line="240" w:lineRule="auto"/>
        <w:ind w:firstLineChars="295" w:firstLine="708"/>
        <w:jc w:val="right"/>
        <w:rPr>
          <w:i/>
          <w:iCs/>
        </w:rPr>
      </w:pPr>
      <w:r>
        <w:rPr>
          <w:i/>
          <w:iCs/>
        </w:rPr>
        <w:t>г. Майкоп</w:t>
      </w:r>
    </w:p>
    <w:p w14:paraId="06C8F7AF" w14:textId="54EE985F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    </w:t>
      </w:r>
      <w:r w:rsidR="00A206B9" w:rsidRPr="00A206B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A206B9" w:rsidRPr="00A206B9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Pr="00A206B9">
        <w:rPr>
          <w:rFonts w:ascii="Times New Roman" w:hAnsi="Times New Roman" w:cs="Times New Roman"/>
          <w:sz w:val="28"/>
          <w:szCs w:val="28"/>
        </w:rPr>
        <w:t xml:space="preserve"> исследования обусловлена уникальной природой имени собственного, которое в художественном тексте выполняет не только идентифицирующую, но и характеризующую, эстетическую, символическую и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текстообразующую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функции. Особую сложность при переводе вызывают «говорящие» имена, внутренняя форма которых заложена авторским замыслом. Необходимость адекватной передачи семантической и функциональной нагрузки таких имён в условиях межъязыковой и межкультурной коммуникации определяет значимость работы. Комплексный сопоставительный анализ переводческих стратегий на материале произведений разных жанров (фэнтези, социально-реалистический роман, философский роман) ранее не проводился, что определяет новизну и актуальность настоящего исследования.</w:t>
      </w:r>
    </w:p>
    <w:p w14:paraId="239FDFA0" w14:textId="277028B3" w:rsidR="00517964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  </w:t>
      </w:r>
      <w:r w:rsidR="004C7C2A" w:rsidRPr="00A206B9">
        <w:rPr>
          <w:rFonts w:ascii="Times New Roman" w:hAnsi="Times New Roman" w:cs="Times New Roman"/>
          <w:b/>
          <w:bCs/>
          <w:sz w:val="28"/>
          <w:szCs w:val="28"/>
        </w:rPr>
        <w:t xml:space="preserve">Степень разработанности </w:t>
      </w:r>
      <w:r w:rsidR="004C7C2A" w:rsidRPr="00A206B9">
        <w:rPr>
          <w:rFonts w:ascii="Times New Roman" w:hAnsi="Times New Roman" w:cs="Times New Roman"/>
          <w:bCs/>
          <w:sz w:val="28"/>
          <w:szCs w:val="28"/>
        </w:rPr>
        <w:t>данной темы</w:t>
      </w:r>
      <w:r w:rsidR="004C7C2A" w:rsidRPr="00A20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C2A" w:rsidRPr="00A206B9">
        <w:rPr>
          <w:rFonts w:ascii="Times New Roman" w:hAnsi="Times New Roman" w:cs="Times New Roman"/>
          <w:bCs/>
          <w:sz w:val="28"/>
          <w:szCs w:val="28"/>
        </w:rPr>
        <w:t>в лингвистической науке</w:t>
      </w:r>
      <w:r w:rsidR="004C7C2A" w:rsidRPr="00A206B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достаточно высока, однако, несмотря на значительное количество исследований, тема остается актуальной, поскольку постоянно появляются новые подходы к анализу той или иной языковой проблемы.</w:t>
      </w:r>
      <w:r w:rsidRPr="00A206B9">
        <w:rPr>
          <w:rFonts w:ascii="Times New Roman" w:hAnsi="Times New Roman" w:cs="Times New Roman"/>
          <w:sz w:val="28"/>
          <w:szCs w:val="28"/>
        </w:rPr>
        <w:t xml:space="preserve"> </w:t>
      </w:r>
      <w:r w:rsidR="004C7C2A" w:rsidRPr="00A206B9">
        <w:rPr>
          <w:rFonts w:ascii="Times New Roman" w:hAnsi="Times New Roman" w:cs="Times New Roman"/>
          <w:sz w:val="28"/>
          <w:szCs w:val="28"/>
        </w:rPr>
        <w:t xml:space="preserve">Теоретическую базу </w:t>
      </w:r>
      <w:r w:rsidRPr="00A206B9">
        <w:rPr>
          <w:rFonts w:ascii="Times New Roman" w:hAnsi="Times New Roman" w:cs="Times New Roman"/>
          <w:sz w:val="28"/>
          <w:szCs w:val="28"/>
        </w:rPr>
        <w:t xml:space="preserve">составили работы по ономастике (А.В. Суперанская, В.И. Супрун, А.Н.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Деревяго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), поэтической ономастике (В.М. Калинкин, Э.Б.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Магазаник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), переводоведению (Д.И. Ермолович, В.С. Виноградов, Л.С.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, Я.И.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Рецкер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>, В.Н. Комиссаров, С. Влахов, С. Флорин), а также по теории художественного дискурса (Н.Д. Арутюнова, М.М. Бахтин, И.Р. Гальперин).</w:t>
      </w:r>
    </w:p>
    <w:p w14:paraId="5946C0CB" w14:textId="4F587B8D" w:rsidR="00D10D39" w:rsidRPr="00A206B9" w:rsidRDefault="00517964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 </w:t>
      </w:r>
      <w:r w:rsidR="00D10D39" w:rsidRPr="00A206B9">
        <w:rPr>
          <w:rFonts w:ascii="Times New Roman" w:hAnsi="Times New Roman" w:cs="Times New Roman"/>
          <w:b/>
          <w:bCs/>
          <w:sz w:val="28"/>
          <w:szCs w:val="28"/>
        </w:rPr>
        <w:t>Объектом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 исследования являются имена собственные (</w:t>
      </w:r>
      <w:proofErr w:type="spellStart"/>
      <w:r w:rsidR="00D10D39" w:rsidRPr="00A206B9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="00D10D39" w:rsidRPr="00A206B9">
        <w:rPr>
          <w:rFonts w:ascii="Times New Roman" w:hAnsi="Times New Roman" w:cs="Times New Roman"/>
          <w:sz w:val="28"/>
          <w:szCs w:val="28"/>
        </w:rPr>
        <w:t>) в структуре художественного текста.</w:t>
      </w:r>
    </w:p>
    <w:p w14:paraId="3CA1E491" w14:textId="77777777" w:rsidR="00517964" w:rsidRPr="00A206B9" w:rsidRDefault="005C61B2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 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54BB5" w14:textId="20B825E4" w:rsidR="00517964" w:rsidRPr="00A206B9" w:rsidRDefault="00517964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20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D39" w:rsidRPr="00A206B9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 исследования являются способы и приёмы передачи семантики и функций немецких «говорящих» имён собственных при переводе на русский язык.</w:t>
      </w:r>
    </w:p>
    <w:p w14:paraId="0B431974" w14:textId="5F5684B5" w:rsidR="00D10D39" w:rsidRPr="00A206B9" w:rsidRDefault="00517964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 </w:t>
      </w:r>
      <w:r w:rsidR="00D10D39" w:rsidRPr="00A206B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 настоящей работы заключается в выявлении и анализе основных переводческих стратегий передачи «говорящих» имён собственных с немецкого языка на русский на материале художественных произведений XX века.</w:t>
      </w:r>
    </w:p>
    <w:p w14:paraId="72CFB287" w14:textId="468560E9" w:rsidR="00D10D39" w:rsidRPr="00A206B9" w:rsidRDefault="00A206B9" w:rsidP="00A206B9">
      <w:pPr>
        <w:pStyle w:val="ac"/>
        <w:spacing w:line="276" w:lineRule="auto"/>
      </w:pPr>
      <w:r w:rsidRPr="00A206B9">
        <w:t xml:space="preserve">Для достижения поставленной цели решались следующие </w:t>
      </w:r>
      <w:r w:rsidRPr="00A206B9">
        <w:rPr>
          <w:b/>
        </w:rPr>
        <w:t>задачи:</w:t>
      </w:r>
    </w:p>
    <w:p w14:paraId="2B793577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1. Описать имя собственное как языковую единицу, определить его место в лексической системе и ономастическом пространстве языка.</w:t>
      </w:r>
    </w:p>
    <w:p w14:paraId="6404D89D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2. Выявить специфику функционирования имён собственных (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поэтонимов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>) в художественном дискурсе и описать их основные функции.</w:t>
      </w:r>
    </w:p>
    <w:p w14:paraId="28F6FCB1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3. Проанализировать теоретические проблемы передачи имён собственных в переводческой сфере и охарактеризовать основные способы перевода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безэквивалентной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лексики.</w:t>
      </w:r>
    </w:p>
    <w:p w14:paraId="2648DD3B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4. Провести сопоставительный анализ перевода имён собственных в романах Г. Гессе «Игра в бисер» и Т. Манна «Смерть в Венеции».</w:t>
      </w:r>
    </w:p>
    <w:p w14:paraId="545BEC7C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5. Выявить специфику перевода «говорящих» имён собственных на материале романов М. Энде «Бесконечная история» и Г. Манна «Учитель Гнус, или Конец одного тирана».</w:t>
      </w:r>
    </w:p>
    <w:p w14:paraId="4F6F9FF4" w14:textId="264ACA1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6. Классифицировать способы перевода «говорящих» имён собственных и определить наиболее частотные стратегии их передачи.</w:t>
      </w:r>
    </w:p>
    <w:p w14:paraId="7160F4C6" w14:textId="76F582CF" w:rsidR="00D10D39" w:rsidRPr="00A206B9" w:rsidRDefault="00A206B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bCs/>
          <w:sz w:val="28"/>
          <w:szCs w:val="28"/>
        </w:rPr>
        <w:t>В работе использовались следующие</w:t>
      </w:r>
      <w:r w:rsidRPr="00A206B9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D10D39" w:rsidRPr="00A206B9">
        <w:rPr>
          <w:rFonts w:ascii="Times New Roman" w:hAnsi="Times New Roman" w:cs="Times New Roman"/>
          <w:b/>
          <w:bCs/>
          <w:sz w:val="28"/>
          <w:szCs w:val="28"/>
        </w:rPr>
        <w:t>етоды: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21A55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дефиниционный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метод;</w:t>
      </w:r>
    </w:p>
    <w:p w14:paraId="7B342847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 метод наблюдения;</w:t>
      </w:r>
    </w:p>
    <w:p w14:paraId="251D7C02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-метод описания;</w:t>
      </w:r>
    </w:p>
    <w:p w14:paraId="4286735A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 метод сплошной выборки;</w:t>
      </w:r>
    </w:p>
    <w:p w14:paraId="7B49497C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- метод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лингвопрагматического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анализа;</w:t>
      </w:r>
    </w:p>
    <w:p w14:paraId="5627AB28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 метод структурно-семантического анализа;</w:t>
      </w:r>
    </w:p>
    <w:p w14:paraId="50172635" w14:textId="4ADF246E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- методы дискурс-анализа и контент-анализа.</w:t>
      </w:r>
    </w:p>
    <w:p w14:paraId="5387DB7F" w14:textId="35BF1E4C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>Имя собственное (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оним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) – особая языковая единица, выполняющая функцию индивидуализации. В художественном тексте оно трансформируется в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lastRenderedPageBreak/>
        <w:t>поэтоним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– активный компонент художественной структуры, реализующий номинативную, характеризующую, социальную, эстетическую, ассоциативную, символическую и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текстообразующую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функции. Перевод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– не механическая операция, а творческая задача, требующая учёта культурно-исторического контекста и авторского замысла.</w:t>
      </w:r>
    </w:p>
    <w:p w14:paraId="3B956A6B" w14:textId="2585B73A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 Наиболее частотной стратегией перевода имён собственных во всех рассмотренных произведениях является транскрипция (сохранение звукового облика и национального колорита). Калькирование и контекстуальный перевод применяются для ключевых смыслообразующих единиц: в «Игре в бисер» –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идеонимы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(«Игра в бисер», «Педагогическая провинция»); в «Бесконечной истории» –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Mondenkind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→ «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Луниана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»; в «Учителе Гнус» –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Unrat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→ «Гнус» (смысловой центр романа). Выбор стратегии зависит от типа дискурса: в фэнтези доминирует транскрипция вымышленных имён; в реалистическом дискурсе транскрипция служит для создания социально-исторического фона, а смысловые имена передаются калькированием. Утрата семантики (например,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Fröhlich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→ «Фрелих») является осознанным решением в пользу сохранения национального колорита.</w:t>
      </w:r>
    </w:p>
    <w:p w14:paraId="6AECD57C" w14:textId="0AB04445" w:rsidR="00D10D39" w:rsidRPr="00A206B9" w:rsidRDefault="00A206B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bCs/>
          <w:sz w:val="28"/>
          <w:szCs w:val="28"/>
        </w:rPr>
        <w:t xml:space="preserve"> Из всего сказанного можно сделать вывод о том,</w:t>
      </w:r>
      <w:r w:rsidRPr="00A206B9">
        <w:rPr>
          <w:rFonts w:ascii="Times New Roman" w:hAnsi="Times New Roman" w:cs="Times New Roman"/>
          <w:sz w:val="28"/>
          <w:szCs w:val="28"/>
        </w:rPr>
        <w:t xml:space="preserve"> что а</w:t>
      </w:r>
      <w:r w:rsidR="00D10D39" w:rsidRPr="00A206B9">
        <w:rPr>
          <w:rFonts w:ascii="Times New Roman" w:hAnsi="Times New Roman" w:cs="Times New Roman"/>
          <w:sz w:val="28"/>
          <w:szCs w:val="28"/>
        </w:rPr>
        <w:t xml:space="preserve">декватный перевод «говорящих» имён собственных требует баланса между формой и содержанием, национальным своеобразием и функциональной нагрузкой имени. Наиболее распространённой стратегией является транскрипция, однако именно комбинирование её с калькированием и контекстуальным переводом для ключевых </w:t>
      </w:r>
      <w:proofErr w:type="spellStart"/>
      <w:r w:rsidR="00D10D39" w:rsidRPr="00A206B9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="00D10D39" w:rsidRPr="00A206B9">
        <w:rPr>
          <w:rFonts w:ascii="Times New Roman" w:hAnsi="Times New Roman" w:cs="Times New Roman"/>
          <w:sz w:val="28"/>
          <w:szCs w:val="28"/>
        </w:rPr>
        <w:t xml:space="preserve"> обеспечивает эквивалентность и передачу авторского замысла. Перспективным направлением является расширение эмпирической базы и анализ </w:t>
      </w:r>
      <w:proofErr w:type="spellStart"/>
      <w:r w:rsidR="00D10D39" w:rsidRPr="00A206B9">
        <w:rPr>
          <w:rFonts w:ascii="Times New Roman" w:hAnsi="Times New Roman" w:cs="Times New Roman"/>
          <w:sz w:val="28"/>
          <w:szCs w:val="28"/>
        </w:rPr>
        <w:t>интертекстуальных</w:t>
      </w:r>
      <w:proofErr w:type="spellEnd"/>
      <w:r w:rsidR="00D10D39" w:rsidRPr="00A206B9">
        <w:rPr>
          <w:rFonts w:ascii="Times New Roman" w:hAnsi="Times New Roman" w:cs="Times New Roman"/>
          <w:sz w:val="28"/>
          <w:szCs w:val="28"/>
        </w:rPr>
        <w:t xml:space="preserve"> коннотаций имён собственных в переводе.</w:t>
      </w:r>
    </w:p>
    <w:p w14:paraId="1AC6F80D" w14:textId="7FBAE84F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06B9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1035F260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1. Виноградов, В.С. Введение в переводоведение (общие и лексические вопросы) / В.С. Виноградов. –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Издательство института общего среднего образования РАО, 2001. – 224 с.</w:t>
      </w:r>
    </w:p>
    <w:p w14:paraId="009FF99D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2. Влахов, С. Непереводимое в переводе / С. Влахов, С. Флорин. –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>. отношения, 1980. – 342 с.</w:t>
      </w:r>
    </w:p>
    <w:p w14:paraId="14379A02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3. Ермолович, Д.И. Имена собственные на стыке языков и культур / Д.И. Ермолович. –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Валент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>, 2001. – 200 с.</w:t>
      </w:r>
    </w:p>
    <w:p w14:paraId="341C0B61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4. Калинкин, В.М. Поэтика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онима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 / В.М. Калинкин. – Донецк, 1999. – 408 с.</w:t>
      </w:r>
    </w:p>
    <w:p w14:paraId="32ED669D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Магазаник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, Э.Б.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Ономапоэтика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, или «говорящие» имена в литературе / Э.Б.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Магазаник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Ташкент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Фан, 1978. – 146 с.</w:t>
      </w:r>
    </w:p>
    <w:p w14:paraId="5886531D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6. Суперанская, А.В. Общая теория имени собственного / А.В. Суперанская. –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URSS, 2023. – 366 с.</w:t>
      </w:r>
    </w:p>
    <w:p w14:paraId="342F58F7" w14:textId="77777777" w:rsidR="00D10D39" w:rsidRPr="00A206B9" w:rsidRDefault="00D10D39" w:rsidP="00A206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06B9">
        <w:rPr>
          <w:rFonts w:ascii="Times New Roman" w:hAnsi="Times New Roman" w:cs="Times New Roman"/>
          <w:sz w:val="28"/>
          <w:szCs w:val="28"/>
        </w:rPr>
        <w:t xml:space="preserve">7. Супрун, В.И. Ономастическое поле русского языка и его художественно-эстетический </w:t>
      </w:r>
      <w:proofErr w:type="gramStart"/>
      <w:r w:rsidRPr="00A206B9">
        <w:rPr>
          <w:rFonts w:ascii="Times New Roman" w:hAnsi="Times New Roman" w:cs="Times New Roman"/>
          <w:sz w:val="28"/>
          <w:szCs w:val="28"/>
        </w:rPr>
        <w:t>потенциал :</w:t>
      </w:r>
      <w:proofErr w:type="gramEnd"/>
      <w:r w:rsidRPr="00A20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6B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A206B9">
        <w:rPr>
          <w:rFonts w:ascii="Times New Roman" w:hAnsi="Times New Roman" w:cs="Times New Roman"/>
          <w:sz w:val="28"/>
          <w:szCs w:val="28"/>
        </w:rPr>
        <w:t>. ... д-ра филол. наук / В.И. Супрун. – Волгоград, 2000. – 76 с.</w:t>
      </w:r>
    </w:p>
    <w:p w14:paraId="0C0F48A4" w14:textId="1115D69B" w:rsidR="00D10D39" w:rsidRPr="00D10D39" w:rsidRDefault="00D10D39" w:rsidP="00D10D39">
      <w:pPr>
        <w:rPr>
          <w:rFonts w:ascii="Times New Roman" w:hAnsi="Times New Roman" w:cs="Times New Roman"/>
          <w:sz w:val="28"/>
          <w:szCs w:val="28"/>
        </w:rPr>
      </w:pPr>
    </w:p>
    <w:sectPr w:rsidR="00D10D39" w:rsidRPr="00D1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39"/>
    <w:rsid w:val="004C7C2A"/>
    <w:rsid w:val="00517964"/>
    <w:rsid w:val="005B177A"/>
    <w:rsid w:val="005C61B2"/>
    <w:rsid w:val="0063429B"/>
    <w:rsid w:val="006F6B4D"/>
    <w:rsid w:val="00A206B9"/>
    <w:rsid w:val="00D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5AA0"/>
  <w15:chartTrackingRefBased/>
  <w15:docId w15:val="{DCF4BEDB-51AA-4DD1-B206-3104AAD6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0D39"/>
    <w:rPr>
      <w:b/>
      <w:bCs/>
      <w:smallCaps/>
      <w:color w:val="2F5496" w:themeColor="accent1" w:themeShade="BF"/>
      <w:spacing w:val="5"/>
    </w:rPr>
  </w:style>
  <w:style w:type="paragraph" w:customStyle="1" w:styleId="ac">
    <w:name w:val="курсач"/>
    <w:basedOn w:val="a"/>
    <w:qFormat/>
    <w:rsid w:val="00A206B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Sedinkina</dc:creator>
  <cp:keywords/>
  <dc:description/>
  <cp:lastModifiedBy>Anastasia Sedinkina</cp:lastModifiedBy>
  <cp:revision>2</cp:revision>
  <dcterms:created xsi:type="dcterms:W3CDTF">2026-04-09T17:11:00Z</dcterms:created>
  <dcterms:modified xsi:type="dcterms:W3CDTF">2026-04-09T17:11:00Z</dcterms:modified>
</cp:coreProperties>
</file>