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9C02" w14:textId="1483FEAB" w:rsidR="00110D6B" w:rsidRPr="00110D6B" w:rsidRDefault="00110D6B" w:rsidP="00110D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ИННОВАЦИОННЫЕ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ПОДХОДЫ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ПРОЕКТИРОВАНИЮ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ТУРИСТСКО-РЕКРЕАЦИОННЫХ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ЗОН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РЕСПУБЛИКЕ</w:t>
      </w:r>
      <w:r w:rsidR="00A6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АДЫГЕЯ</w:t>
      </w:r>
    </w:p>
    <w:p w14:paraId="3033F82C" w14:textId="78410661" w:rsidR="00110D6B" w:rsidRPr="00110D6B" w:rsidRDefault="00110D6B" w:rsidP="00110D6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 w:rsidRPr="0011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Лобанов</w:t>
      </w:r>
      <w:r w:rsidR="00A62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Даниил</w:t>
      </w:r>
      <w:r w:rsidR="00A62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11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Васильевич</w:t>
      </w:r>
      <w:r w:rsidR="00A62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</w:p>
    <w:p w14:paraId="75D8CCE5" w14:textId="440121E6" w:rsidR="00110D6B" w:rsidRPr="00110D6B" w:rsidRDefault="00110D6B" w:rsidP="00110D6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Адыгейский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государственный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университет»,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г.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Майкоп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19395352" w14:textId="705E55B5" w:rsidR="00110D6B" w:rsidRPr="00110D6B" w:rsidRDefault="00110D6B" w:rsidP="00110D6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Научный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руководитель: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Ожева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С.Б.,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к.с.н.,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доцент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216C1E6D" w14:textId="4B1088BF" w:rsidR="00110D6B" w:rsidRDefault="00110D6B" w:rsidP="00110D6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Адыгейский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государственный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университет»,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г.</w:t>
      </w:r>
      <w:r w:rsidR="00A62E36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Майкоп</w:t>
      </w:r>
      <w:r w:rsidR="00A62E3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bookmarkStart w:id="0" w:name="актуальность_исследования"/>
    </w:p>
    <w:p w14:paraId="392BD8D9" w14:textId="77777777" w:rsidR="00110D6B" w:rsidRDefault="00110D6B" w:rsidP="00110D6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343ABA41" w14:textId="75468C60" w:rsidR="00C4277B" w:rsidRPr="00110D6B" w:rsidRDefault="00F0295B" w:rsidP="00A62E36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Актуальность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исследования</w:t>
      </w:r>
      <w:bookmarkEnd w:id="0"/>
      <w:r w:rsidR="00110D6B" w:rsidRPr="00110D6B">
        <w:rPr>
          <w:rFonts w:ascii="Times New Roman" w:eastAsia="Georgia" w:hAnsi="Times New Roman" w:cs="Times New Roman"/>
          <w:b/>
          <w:color w:val="000000"/>
          <w:sz w:val="28"/>
          <w:szCs w:val="28"/>
          <w:lang w:val="ru-RU"/>
        </w:rPr>
        <w:t>.</w:t>
      </w:r>
      <w:r w:rsidR="00A62E36">
        <w:rPr>
          <w:rFonts w:ascii="Times New Roman" w:eastAsia="Georgia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обладает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значительным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туристско‑рекреационным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потенциалом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счёт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сочетания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горно‑лесного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рельефа,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минеральных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источников,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уникальных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природных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объектов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горной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части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богатого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историко‑культурного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наследия.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этом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истского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потока,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особенно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пиковые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сезоны,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усиливает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антропогенное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давление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природные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территории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ебует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перехода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«распылённого»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застройки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системному,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научно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обоснованному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проектированию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рекреационных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</w:t>
      </w:r>
      <w:bookmarkStart w:id="1" w:name="fnref4"/>
      <w:bookmarkEnd w:id="1"/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2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="00A62E36"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C081B5E" w14:textId="4ADC6A96" w:rsidR="00C4277B" w:rsidRPr="00E55FBD" w:rsidRDefault="00F0295B" w:rsidP="00E55FB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Актуальность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темы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усиливаетс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я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в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контексте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федеральных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и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региональных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E55FBD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программ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развития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E55FBD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индустрии туризма и гостеприимства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,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а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также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инфраструктурных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проектов</w:t>
      </w:r>
      <w:r w:rsidR="00E55FBD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по развитию туристкой отрасли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,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реализуемых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в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Адыгее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(например,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создание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в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сесезонн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ого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горн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ого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экокурорт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а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«Лагонаки»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,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т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уристско-рекреационн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ого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парк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а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«Дегуакская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поляна»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,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б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лагоустройств</w:t>
      </w:r>
      <w:r w:rsidR="00E55FBD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о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исторического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центра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Майкопа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в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рамках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проекта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«Туристский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код</w:t>
      </w:r>
      <w:r w:rsidR="00A62E36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110D6B" w:rsidRP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Майкопа»)</w:t>
      </w:r>
      <w:r w:rsidR="00110D6B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>.</w:t>
      </w:r>
      <w:r w:rsidR="00E55FBD">
        <w:rPr>
          <w:rFonts w:eastAsia="Georgia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В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этих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условиях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инновационные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подходы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="00E55FBD">
        <w:rPr>
          <w:rFonts w:eastAsia="Georgia"/>
          <w:b w:val="0"/>
          <w:bCs w:val="0"/>
          <w:color w:val="000000"/>
          <w:sz w:val="28"/>
          <w:szCs w:val="28"/>
        </w:rPr>
        <w:t>-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включая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ци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фровизацию,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геоинформационное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моделирование,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инклюзивный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и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экологический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дизайн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="00E55FBD">
        <w:rPr>
          <w:rFonts w:eastAsia="Georgia"/>
          <w:b w:val="0"/>
          <w:bCs w:val="0"/>
          <w:color w:val="000000"/>
          <w:sz w:val="28"/>
          <w:szCs w:val="28"/>
        </w:rPr>
        <w:t>-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становятся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ключевым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фактором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конкурентоспособности</w:t>
      </w:r>
      <w:r w:rsidR="00A62E36" w:rsidRPr="00E55FBD">
        <w:rPr>
          <w:rFonts w:eastAsia="Georgia"/>
          <w:b w:val="0"/>
          <w:bCs w:val="0"/>
          <w:color w:val="000000"/>
          <w:sz w:val="28"/>
          <w:szCs w:val="28"/>
        </w:rPr>
        <w:t xml:space="preserve"> </w:t>
      </w:r>
      <w:r w:rsidRPr="00E55FBD">
        <w:rPr>
          <w:rFonts w:eastAsia="Georgia"/>
          <w:b w:val="0"/>
          <w:bCs w:val="0"/>
          <w:color w:val="000000"/>
          <w:sz w:val="28"/>
          <w:szCs w:val="28"/>
        </w:rPr>
        <w:t>региона.</w:t>
      </w:r>
      <w:bookmarkStart w:id="2" w:name="fnref6"/>
      <w:bookmarkEnd w:id="2"/>
      <w:r w:rsidR="00A62E36" w:rsidRPr="00E55FBD">
        <w:rPr>
          <w:b w:val="0"/>
          <w:bCs w:val="0"/>
          <w:sz w:val="28"/>
          <w:szCs w:val="28"/>
        </w:rPr>
        <w:t xml:space="preserve"> </w:t>
      </w:r>
    </w:p>
    <w:p w14:paraId="6149C4D2" w14:textId="6E1A3222" w:rsidR="00C4277B" w:rsidRPr="00A62E36" w:rsidRDefault="00F0295B" w:rsidP="00A6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Целью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исследования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стало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определение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эффективн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ых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инновационных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подходов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проектированию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учётом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современных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требований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устойчивого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развития,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экологического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цифровой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трансформации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инфраструктуры.</w:t>
      </w:r>
      <w:bookmarkStart w:id="3" w:name="fnref2_3"/>
      <w:bookmarkEnd w:id="3"/>
      <w:r w:rsidR="00A62E36"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61088E6" w14:textId="7FEE2582" w:rsidR="00C4277B" w:rsidRPr="00A62E36" w:rsidRDefault="00F0295B" w:rsidP="0011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достижения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цели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40780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нами были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решены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следующие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задачи:</w:t>
      </w:r>
    </w:p>
    <w:p w14:paraId="2360CCE1" w14:textId="0ECA5A60" w:rsidR="00C4277B" w:rsidRPr="00110D6B" w:rsidRDefault="00F0295B" w:rsidP="00A62E36">
      <w:pPr>
        <w:numPr>
          <w:ilvl w:val="0"/>
          <w:numId w:val="5"/>
        </w:numPr>
        <w:tabs>
          <w:tab w:val="clear" w:pos="90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выяв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лены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особенности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туристско‑рекреационной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системы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факторы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её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развития;</w:t>
      </w:r>
      <w:bookmarkStart w:id="4" w:name="fnref5_1"/>
      <w:bookmarkEnd w:id="4"/>
      <w:r w:rsidR="00A62E36" w:rsidRPr="00110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A087BD" w14:textId="167AD6C6" w:rsidR="00C4277B" w:rsidRPr="00110D6B" w:rsidRDefault="00F0295B" w:rsidP="00A62E36">
      <w:pPr>
        <w:numPr>
          <w:ilvl w:val="0"/>
          <w:numId w:val="5"/>
        </w:numPr>
        <w:tabs>
          <w:tab w:val="clear" w:pos="90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охарактеризова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современные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нструменты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(ГИС,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цифровые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карты,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моделирование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нагрузки,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</w:rPr>
        <w:t>BIM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‑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</w:rPr>
        <w:t>CAD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‑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решения)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проектировании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туристско-рекреационных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;</w:t>
      </w:r>
      <w:bookmarkStart w:id="5" w:name="fnref9"/>
      <w:bookmarkEnd w:id="5"/>
      <w:r w:rsidR="00A62E36" w:rsidRPr="00110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8439BF" w14:textId="09BEA284" w:rsidR="00C4277B" w:rsidRPr="00110D6B" w:rsidRDefault="00F0295B" w:rsidP="00A62E36">
      <w:pPr>
        <w:numPr>
          <w:ilvl w:val="0"/>
          <w:numId w:val="5"/>
        </w:numPr>
        <w:tabs>
          <w:tab w:val="clear" w:pos="90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проанализирова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проекты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 направленные на развитие туризма в регионе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обобщ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ен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опыт;</w:t>
      </w:r>
      <w:bookmarkStart w:id="6" w:name="fnref7_1"/>
      <w:bookmarkEnd w:id="6"/>
      <w:r w:rsidR="00A62E36" w:rsidRPr="00110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1D960B" w14:textId="4C2DA0A8" w:rsidR="00A62E36" w:rsidRPr="00A62E36" w:rsidRDefault="00F0295B" w:rsidP="00A62E36">
      <w:pPr>
        <w:numPr>
          <w:ilvl w:val="0"/>
          <w:numId w:val="5"/>
        </w:numPr>
        <w:tabs>
          <w:tab w:val="clear" w:pos="90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сформулирова</w:t>
      </w:r>
      <w:r w:rsidR="00E55FBD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рекомендации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интеграции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инновационн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ых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подходов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практическую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деятельность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органов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управления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туризмом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профильных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предприятий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[1,2,3;4]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7" w:name="fnref3_4"/>
      <w:bookmarkEnd w:id="7"/>
      <w:r w:rsidR="00A62E36"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8FB742" w14:textId="07E6D37A" w:rsidR="00C4277B" w:rsidRPr="00A62E36" w:rsidRDefault="00F0295B" w:rsidP="00A62E3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8" w:name="основные_результаты_и_выводы"/>
      <w:r w:rsidRPr="00F0295B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lastRenderedPageBreak/>
        <w:t>Основные</w:t>
      </w:r>
      <w:r w:rsidR="00A62E36" w:rsidRPr="00F0295B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bookmarkEnd w:id="8"/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рекомендации по определению инновационных подходов к проектированию туристско-рекреационных зон в Адыгее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:</w:t>
      </w:r>
    </w:p>
    <w:p w14:paraId="05763B38" w14:textId="3BE90EED" w:rsidR="00C4277B" w:rsidRPr="00A62E36" w:rsidRDefault="00F0295B" w:rsidP="00A62E36">
      <w:pPr>
        <w:numPr>
          <w:ilvl w:val="0"/>
          <w:numId w:val="2"/>
        </w:numPr>
        <w:tabs>
          <w:tab w:val="clear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Использование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ГИС‑технологий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геоанализа</w:t>
      </w:r>
      <w:r w:rsidR="00110D6B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.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Геоинформационные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системы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позволяют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осуществлять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пространственную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инвентаризацию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рекреационных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ресурсов,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моделировать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туристическую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нагрузку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обосновывать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специализацию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зон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(например,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экотуриз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горно‑пешеходный,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спортивный,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оздоровительный).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В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Адыгее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такие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системы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уже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применяются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для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туристско‑рекреационного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районирования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выбора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оптимальных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мест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размещения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объектов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сервиса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учётом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природных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ограничений.</w:t>
      </w:r>
      <w:bookmarkStart w:id="9" w:name="fnref2_5"/>
      <w:bookmarkEnd w:id="9"/>
      <w:r w:rsidR="00A62E36" w:rsidRPr="00A62E3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3CA7776" w14:textId="27D98993" w:rsidR="00C4277B" w:rsidRPr="00A62E36" w:rsidRDefault="00F0295B" w:rsidP="00A62E36">
      <w:pPr>
        <w:numPr>
          <w:ilvl w:val="0"/>
          <w:numId w:val="2"/>
        </w:numPr>
        <w:tabs>
          <w:tab w:val="clear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Акцент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на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экологический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инклюзивный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туризм</w:t>
      </w:r>
      <w:r w:rsidR="00110D6B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.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Исследования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показывают,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что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всё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более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чётко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проступает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вектор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экологического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инклюзивного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туризма,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ориентированного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природные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парки,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запо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ведные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территории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адаптированные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маршруты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людей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ограниченными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возможностями.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Инновационные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включают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продуманные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экотропы,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малую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архитектуру,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информационные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точки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элементы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цифровой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навигации,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что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повышает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комфорт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безопасность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всех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тегорий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туристов.</w:t>
      </w:r>
      <w:bookmarkStart w:id="10" w:name="fnref8_3"/>
      <w:bookmarkEnd w:id="10"/>
      <w:r w:rsidR="00A62E36"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55B279" w14:textId="3D190D11" w:rsidR="00C4277B" w:rsidRPr="00A62E36" w:rsidRDefault="00F0295B" w:rsidP="00A62E36">
      <w:pPr>
        <w:numPr>
          <w:ilvl w:val="0"/>
          <w:numId w:val="2"/>
        </w:numPr>
        <w:tabs>
          <w:tab w:val="clear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Цифровизация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«умный»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сервис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в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рекреационных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зонах</w:t>
      </w:r>
      <w:r w:rsidR="00110D6B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.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Современные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подходы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проектированию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предусматривают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интеграцию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цифровых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сервисов: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мобильные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приложения,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QR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‑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коды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контентом,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онлайн‑бронирование,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системы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мониторинга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экологической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нагрузки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посещаемости.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Это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позволяет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только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улучшить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качество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обслужив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ания,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но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управлять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потоками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туристов,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снижая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перегрузку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ключевых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ландшафтов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(горные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тропы,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хребет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Лаго‑Наки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др.).</w:t>
      </w:r>
      <w:bookmarkStart w:id="11" w:name="fnref10_2"/>
      <w:bookmarkEnd w:id="11"/>
      <w:r w:rsidR="00A62E36" w:rsidRPr="00A62E3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57ACA62B" w14:textId="633FB8B8" w:rsidR="00C4277B" w:rsidRPr="00A62E36" w:rsidRDefault="00F0295B" w:rsidP="00A62E36">
      <w:pPr>
        <w:numPr>
          <w:ilvl w:val="0"/>
          <w:numId w:val="2"/>
        </w:numPr>
        <w:tabs>
          <w:tab w:val="clear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Проекты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крупных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рекреационных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комплексов</w:t>
      </w:r>
      <w:r w:rsidR="00110D6B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.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В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Майкопе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других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населённых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пунктах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реализуются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проекты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современных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рекреационных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зон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развитой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малой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архитектурой,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парковочными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системами,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зонами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отдыха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спортивной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инфраструктурой,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что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демонстрирует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ереход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от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«лоскутного»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благоустройства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комплексному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планированию.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Такие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объекты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проектируются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учётом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нормативов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доступности,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экологической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безопасности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интеграции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общественным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транспортом.</w:t>
      </w:r>
      <w:bookmarkStart w:id="12" w:name="fnref6_3"/>
      <w:bookmarkEnd w:id="12"/>
      <w:r w:rsidR="00A62E36" w:rsidRPr="00A62E3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A587EA3" w14:textId="77777777" w:rsidR="00A62E36" w:rsidRDefault="00F0295B" w:rsidP="008537EB">
      <w:pPr>
        <w:numPr>
          <w:ilvl w:val="0"/>
          <w:numId w:val="2"/>
        </w:numPr>
        <w:tabs>
          <w:tab w:val="clear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Необходимость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комплексной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методики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проектирования</w:t>
      </w:r>
      <w:r w:rsidR="00A62E36" w:rsidRPr="00A62E36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.</w:t>
      </w:r>
      <w:r w:rsidR="00A62E36" w:rsidRPr="00A62E36">
        <w:rPr>
          <w:rFonts w:ascii="Times New Roman" w:eastAsia="Georgia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Анализ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научных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работ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туристско-рекреационному комплексу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указывает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то,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что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эффективного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туристско‑рекреационных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требуется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единая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методика,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сочетающая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экологическое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планирование,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геоинформационный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анализ,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социальные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экономические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расчёты,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также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мониторинг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устойчивости.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Только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такой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комплексный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подход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позволяет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минимизировать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«узкие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места»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(перегрузка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инфраструктуры,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сезонность,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конкуренцию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соседними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регионами)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обеспечить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устойчивый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рост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рекреационного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потенциала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[1, 2, 3, 4]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13" w:name="fnref1_5"/>
      <w:bookmarkEnd w:id="13"/>
      <w:r w:rsidR="00A62E36"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A0F32B" w14:textId="0F1EC42C" w:rsidR="00C4277B" w:rsidRPr="00A62E36" w:rsidRDefault="00F0295B" w:rsidP="00A6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Инновационные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подходы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проектированию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туристско‑рекреационных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Республике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сегодня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представляют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собой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сочетание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геоинформационного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моделирования,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экологического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инклюзивного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дизайна,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цифровизации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сервисов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комплексного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управления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пространств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ом.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Реализованные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разрабатываемые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проекты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(экотропы,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рекреационные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комплексы,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инклюзивные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маршруты)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подтверждают,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что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именно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такие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методы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позволяют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сохранить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уникальную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природу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одновременно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повысить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конкурентоспособность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отрасли.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перспективе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дальнейшее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развитие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этой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темы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видится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разработке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регионального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стандарта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«инновационной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рекреационной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зоны»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рекомендациями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проектировщиков,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органов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власти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инвесторов</w:t>
      </w:r>
      <w:r w:rsidR="00A62E36" w:rsidRP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[1, 3].</w:t>
      </w:r>
    </w:p>
    <w:p w14:paraId="0B0F23D5" w14:textId="5EDDB09D" w:rsidR="00C4277B" w:rsidRPr="00A62E36" w:rsidRDefault="00C4277B" w:rsidP="0011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CD6ED8" w14:textId="1DC82438" w:rsidR="00110D6B" w:rsidRPr="00110D6B" w:rsidRDefault="00110D6B" w:rsidP="00110D6B">
      <w:pPr>
        <w:spacing w:after="0" w:line="240" w:lineRule="auto"/>
        <w:ind w:firstLine="567"/>
        <w:jc w:val="center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Список</w:t>
      </w:r>
      <w:r w:rsidR="00A62E3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литературы:</w:t>
      </w:r>
    </w:p>
    <w:p w14:paraId="0FED3F51" w14:textId="634334AA" w:rsidR="00A62E36" w:rsidRPr="00A62E36" w:rsidRDefault="00A62E36" w:rsidP="00A62E36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E36">
        <w:rPr>
          <w:rFonts w:ascii="Times New Roman" w:hAnsi="Times New Roman" w:cs="Times New Roman"/>
          <w:sz w:val="28"/>
          <w:szCs w:val="28"/>
          <w:lang w:val="ru-RU"/>
        </w:rPr>
        <w:t>Ожева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туристско-рекреационного комплекса Республики Адыгея на современном этапе / С.Б. Ожева, Д. А. Сташ //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Вестник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индустрии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гостеприимства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международный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научный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сборник.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Выпуск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СПб.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Изд-во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Санкт-Петербургский государственный экономический университет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URL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>https://www.elibrary.ru/download/elibrary_69180432_49907510.pdf</w:t>
      </w:r>
    </w:p>
    <w:p w14:paraId="1BA2B93B" w14:textId="4918C290" w:rsidR="00A62E36" w:rsidRPr="00A62E36" w:rsidRDefault="00A62E36" w:rsidP="00A62E36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</w:pPr>
      <w:bookmarkStart w:id="14" w:name="fn3"/>
      <w:bookmarkEnd w:id="14"/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Полякова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,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Е.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А.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Особенности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развития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турист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c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ко-рекреационной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системы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региона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Лаго-Наки,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Р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еспублика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Адыгея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/ Е .А .Полякова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//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Системные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технологии.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2019.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№3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(32).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-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URL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: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https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://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cyberleninka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.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ru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/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article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/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n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/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osobennosti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razvitiya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turistcko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rekreatsionnoy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sistemy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regiona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lago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naki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respublika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-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</w:rPr>
        <w:t>adygeya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(дата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обращения: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>08.04.2026).</w:t>
      </w:r>
      <w:r w:rsidRPr="00A62E36"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14:paraId="4CA8C5C1" w14:textId="4F09D1E7" w:rsidR="00A62E36" w:rsidRPr="00A62E36" w:rsidRDefault="00A62E36" w:rsidP="00A62E36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fn5"/>
      <w:bookmarkStart w:id="16" w:name="fn6"/>
      <w:bookmarkEnd w:id="15"/>
      <w:bookmarkEnd w:id="16"/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Свиридова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Туристско-рекреационное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районирование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территории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еспублики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Адыгея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геоинформационной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основе.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ИнтерКарто.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ИнтерГИС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/ Е.П. Свиридова,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А.Н.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Гуня.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осква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Географический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факультет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МГУ,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2022.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28.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499–509.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01B7553C" w14:textId="209E588F" w:rsidR="00A62E36" w:rsidRPr="00A62E36" w:rsidRDefault="00A62E36" w:rsidP="00A62E36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Style w:val="a4"/>
          <w:rFonts w:ascii="Times New Roman" w:eastAsia="Helvetica Neue" w:hAnsi="Times New Roman" w:cs="Times New Roman"/>
          <w:color w:val="auto"/>
          <w:sz w:val="28"/>
          <w:szCs w:val="28"/>
          <w:u w:val="none"/>
          <w:lang w:val="ru-RU"/>
        </w:rPr>
      </w:pP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Янченко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Е.А.,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Янченко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Д.Д.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Основные показатели и факторы развития туризма и рекреации Республики Адыгея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Вестник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Алтайской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академии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экономики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права.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2024.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8-1.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С.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186-190;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5" w:history="1"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vaael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ru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ru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article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view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?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id</w:t>
        </w:r>
        <w:r w:rsidRPr="00A62E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=3642</w:t>
        </w:r>
      </w:hyperlink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(дата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обращения: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2E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08.04.2026).</w:t>
      </w: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A62E36" w:rsidRPr="00A62E3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06BE"/>
    <w:multiLevelType w:val="hybridMultilevel"/>
    <w:tmpl w:val="CFF2FD38"/>
    <w:lvl w:ilvl="0" w:tplc="1932F38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70955A">
      <w:numFmt w:val="decimal"/>
      <w:lvlText w:val=""/>
      <w:lvlJc w:val="left"/>
    </w:lvl>
    <w:lvl w:ilvl="2" w:tplc="11927ABE">
      <w:numFmt w:val="decimal"/>
      <w:lvlText w:val=""/>
      <w:lvlJc w:val="left"/>
    </w:lvl>
    <w:lvl w:ilvl="3" w:tplc="4934B6B6">
      <w:numFmt w:val="decimal"/>
      <w:lvlText w:val=""/>
      <w:lvlJc w:val="left"/>
    </w:lvl>
    <w:lvl w:ilvl="4" w:tplc="F8E2A338">
      <w:numFmt w:val="decimal"/>
      <w:lvlText w:val=""/>
      <w:lvlJc w:val="left"/>
    </w:lvl>
    <w:lvl w:ilvl="5" w:tplc="485ED42E">
      <w:numFmt w:val="decimal"/>
      <w:lvlText w:val=""/>
      <w:lvlJc w:val="left"/>
    </w:lvl>
    <w:lvl w:ilvl="6" w:tplc="86B0AFCA">
      <w:numFmt w:val="decimal"/>
      <w:lvlText w:val=""/>
      <w:lvlJc w:val="left"/>
    </w:lvl>
    <w:lvl w:ilvl="7" w:tplc="6344B644">
      <w:numFmt w:val="decimal"/>
      <w:lvlText w:val=""/>
      <w:lvlJc w:val="left"/>
    </w:lvl>
    <w:lvl w:ilvl="8" w:tplc="0136D0A2">
      <w:numFmt w:val="decimal"/>
      <w:lvlText w:val=""/>
      <w:lvlJc w:val="left"/>
    </w:lvl>
  </w:abstractNum>
  <w:abstractNum w:abstractNumId="1" w15:restartNumberingAfterBreak="0">
    <w:nsid w:val="28C8498B"/>
    <w:multiLevelType w:val="hybridMultilevel"/>
    <w:tmpl w:val="5A562B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EBE6AD6">
      <w:numFmt w:val="decimal"/>
      <w:lvlText w:val=""/>
      <w:lvlJc w:val="left"/>
    </w:lvl>
    <w:lvl w:ilvl="2" w:tplc="2B0A7998">
      <w:numFmt w:val="decimal"/>
      <w:lvlText w:val=""/>
      <w:lvlJc w:val="left"/>
    </w:lvl>
    <w:lvl w:ilvl="3" w:tplc="4C8856FE">
      <w:numFmt w:val="decimal"/>
      <w:lvlText w:val=""/>
      <w:lvlJc w:val="left"/>
    </w:lvl>
    <w:lvl w:ilvl="4" w:tplc="D0D4EEA0">
      <w:numFmt w:val="decimal"/>
      <w:lvlText w:val=""/>
      <w:lvlJc w:val="left"/>
    </w:lvl>
    <w:lvl w:ilvl="5" w:tplc="2F183A8C">
      <w:numFmt w:val="decimal"/>
      <w:lvlText w:val=""/>
      <w:lvlJc w:val="left"/>
    </w:lvl>
    <w:lvl w:ilvl="6" w:tplc="753A9672">
      <w:numFmt w:val="decimal"/>
      <w:lvlText w:val=""/>
      <w:lvlJc w:val="left"/>
    </w:lvl>
    <w:lvl w:ilvl="7" w:tplc="3460D454">
      <w:numFmt w:val="decimal"/>
      <w:lvlText w:val=""/>
      <w:lvlJc w:val="left"/>
    </w:lvl>
    <w:lvl w:ilvl="8" w:tplc="25AE0E5E">
      <w:numFmt w:val="decimal"/>
      <w:lvlText w:val=""/>
      <w:lvlJc w:val="left"/>
    </w:lvl>
  </w:abstractNum>
  <w:abstractNum w:abstractNumId="2" w15:restartNumberingAfterBreak="0">
    <w:nsid w:val="36D30043"/>
    <w:multiLevelType w:val="hybridMultilevel"/>
    <w:tmpl w:val="5944F774"/>
    <w:lvl w:ilvl="0" w:tplc="BEB0113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FDCCFFE">
      <w:numFmt w:val="decimal"/>
      <w:lvlText w:val=""/>
      <w:lvlJc w:val="left"/>
    </w:lvl>
    <w:lvl w:ilvl="2" w:tplc="E0CC9C5C">
      <w:numFmt w:val="decimal"/>
      <w:lvlText w:val=""/>
      <w:lvlJc w:val="left"/>
    </w:lvl>
    <w:lvl w:ilvl="3" w:tplc="DD4EABC8">
      <w:numFmt w:val="decimal"/>
      <w:lvlText w:val=""/>
      <w:lvlJc w:val="left"/>
    </w:lvl>
    <w:lvl w:ilvl="4" w:tplc="8918DDA0">
      <w:numFmt w:val="decimal"/>
      <w:lvlText w:val=""/>
      <w:lvlJc w:val="left"/>
    </w:lvl>
    <w:lvl w:ilvl="5" w:tplc="EDAEE026">
      <w:numFmt w:val="decimal"/>
      <w:lvlText w:val=""/>
      <w:lvlJc w:val="left"/>
    </w:lvl>
    <w:lvl w:ilvl="6" w:tplc="AF2CCF0E">
      <w:numFmt w:val="decimal"/>
      <w:lvlText w:val=""/>
      <w:lvlJc w:val="left"/>
    </w:lvl>
    <w:lvl w:ilvl="7" w:tplc="DCF40FA4">
      <w:numFmt w:val="decimal"/>
      <w:lvlText w:val=""/>
      <w:lvlJc w:val="left"/>
    </w:lvl>
    <w:lvl w:ilvl="8" w:tplc="52806CE4">
      <w:numFmt w:val="decimal"/>
      <w:lvlText w:val=""/>
      <w:lvlJc w:val="left"/>
    </w:lvl>
  </w:abstractNum>
  <w:abstractNum w:abstractNumId="3" w15:restartNumberingAfterBreak="0">
    <w:nsid w:val="3FB010FE"/>
    <w:multiLevelType w:val="hybridMultilevel"/>
    <w:tmpl w:val="3CD8841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1B6F67"/>
    <w:multiLevelType w:val="hybridMultilevel"/>
    <w:tmpl w:val="04684C90"/>
    <w:lvl w:ilvl="0" w:tplc="B8563C7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EBE6AD6">
      <w:numFmt w:val="decimal"/>
      <w:lvlText w:val=""/>
      <w:lvlJc w:val="left"/>
    </w:lvl>
    <w:lvl w:ilvl="2" w:tplc="2B0A7998">
      <w:numFmt w:val="decimal"/>
      <w:lvlText w:val=""/>
      <w:lvlJc w:val="left"/>
    </w:lvl>
    <w:lvl w:ilvl="3" w:tplc="4C8856FE">
      <w:numFmt w:val="decimal"/>
      <w:lvlText w:val=""/>
      <w:lvlJc w:val="left"/>
    </w:lvl>
    <w:lvl w:ilvl="4" w:tplc="D0D4EEA0">
      <w:numFmt w:val="decimal"/>
      <w:lvlText w:val=""/>
      <w:lvlJc w:val="left"/>
    </w:lvl>
    <w:lvl w:ilvl="5" w:tplc="2F183A8C">
      <w:numFmt w:val="decimal"/>
      <w:lvlText w:val=""/>
      <w:lvlJc w:val="left"/>
    </w:lvl>
    <w:lvl w:ilvl="6" w:tplc="753A9672">
      <w:numFmt w:val="decimal"/>
      <w:lvlText w:val=""/>
      <w:lvlJc w:val="left"/>
    </w:lvl>
    <w:lvl w:ilvl="7" w:tplc="3460D454">
      <w:numFmt w:val="decimal"/>
      <w:lvlText w:val=""/>
      <w:lvlJc w:val="left"/>
    </w:lvl>
    <w:lvl w:ilvl="8" w:tplc="25AE0E5E">
      <w:numFmt w:val="decimal"/>
      <w:lvlText w:val=""/>
      <w:lvlJc w:val="left"/>
    </w:lvl>
  </w:abstractNum>
  <w:abstractNum w:abstractNumId="5" w15:restartNumberingAfterBreak="0">
    <w:nsid w:val="4F7C03B6"/>
    <w:multiLevelType w:val="hybridMultilevel"/>
    <w:tmpl w:val="1068D9C0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70955A">
      <w:numFmt w:val="decimal"/>
      <w:lvlText w:val=""/>
      <w:lvlJc w:val="left"/>
    </w:lvl>
    <w:lvl w:ilvl="2" w:tplc="11927ABE">
      <w:numFmt w:val="decimal"/>
      <w:lvlText w:val=""/>
      <w:lvlJc w:val="left"/>
    </w:lvl>
    <w:lvl w:ilvl="3" w:tplc="4934B6B6">
      <w:numFmt w:val="decimal"/>
      <w:lvlText w:val=""/>
      <w:lvlJc w:val="left"/>
    </w:lvl>
    <w:lvl w:ilvl="4" w:tplc="F8E2A338">
      <w:numFmt w:val="decimal"/>
      <w:lvlText w:val=""/>
      <w:lvlJc w:val="left"/>
    </w:lvl>
    <w:lvl w:ilvl="5" w:tplc="485ED42E">
      <w:numFmt w:val="decimal"/>
      <w:lvlText w:val=""/>
      <w:lvlJc w:val="left"/>
    </w:lvl>
    <w:lvl w:ilvl="6" w:tplc="86B0AFCA">
      <w:numFmt w:val="decimal"/>
      <w:lvlText w:val=""/>
      <w:lvlJc w:val="left"/>
    </w:lvl>
    <w:lvl w:ilvl="7" w:tplc="6344B644">
      <w:numFmt w:val="decimal"/>
      <w:lvlText w:val=""/>
      <w:lvlJc w:val="left"/>
    </w:lvl>
    <w:lvl w:ilvl="8" w:tplc="0136D0A2">
      <w:numFmt w:val="decimal"/>
      <w:lvlText w:val=""/>
      <w:lvlJc w:val="left"/>
    </w:lvl>
  </w:abstractNum>
  <w:abstractNum w:abstractNumId="6" w15:restartNumberingAfterBreak="0">
    <w:nsid w:val="61E67611"/>
    <w:multiLevelType w:val="hybridMultilevel"/>
    <w:tmpl w:val="94FAA84A"/>
    <w:lvl w:ilvl="0" w:tplc="B476AF78">
      <w:numFmt w:val="decimal"/>
      <w:lvlText w:val=""/>
      <w:lvlJc w:val="left"/>
    </w:lvl>
    <w:lvl w:ilvl="1" w:tplc="3B162246">
      <w:numFmt w:val="decimal"/>
      <w:lvlText w:val=""/>
      <w:lvlJc w:val="left"/>
    </w:lvl>
    <w:lvl w:ilvl="2" w:tplc="18EC82C4">
      <w:numFmt w:val="decimal"/>
      <w:lvlText w:val=""/>
      <w:lvlJc w:val="left"/>
    </w:lvl>
    <w:lvl w:ilvl="3" w:tplc="1C182DA2">
      <w:numFmt w:val="decimal"/>
      <w:lvlText w:val=""/>
      <w:lvlJc w:val="left"/>
    </w:lvl>
    <w:lvl w:ilvl="4" w:tplc="FF202FD0">
      <w:numFmt w:val="decimal"/>
      <w:lvlText w:val=""/>
      <w:lvlJc w:val="left"/>
    </w:lvl>
    <w:lvl w:ilvl="5" w:tplc="CA18A778">
      <w:numFmt w:val="decimal"/>
      <w:lvlText w:val=""/>
      <w:lvlJc w:val="left"/>
    </w:lvl>
    <w:lvl w:ilvl="6" w:tplc="4AC82958">
      <w:numFmt w:val="decimal"/>
      <w:lvlText w:val=""/>
      <w:lvlJc w:val="left"/>
    </w:lvl>
    <w:lvl w:ilvl="7" w:tplc="9C5E2E16">
      <w:numFmt w:val="decimal"/>
      <w:lvlText w:val=""/>
      <w:lvlJc w:val="left"/>
    </w:lvl>
    <w:lvl w:ilvl="8" w:tplc="5A3283F2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7B"/>
    <w:rsid w:val="00110D6B"/>
    <w:rsid w:val="0040780D"/>
    <w:rsid w:val="00A62E36"/>
    <w:rsid w:val="00C4277B"/>
    <w:rsid w:val="00E55FBD"/>
    <w:rsid w:val="00F0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3D97"/>
  <w15:docId w15:val="{05D399D7-8530-4CC9-8F08-88230308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0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20">
    <w:name w:val="Заголовок 2 Знак"/>
    <w:basedOn w:val="a0"/>
    <w:link w:val="2"/>
    <w:uiPriority w:val="9"/>
    <w:rsid w:val="00110D6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3">
    <w:name w:val="Strong"/>
    <w:basedOn w:val="a0"/>
    <w:uiPriority w:val="22"/>
    <w:qFormat/>
    <w:rsid w:val="00110D6B"/>
    <w:rPr>
      <w:b/>
      <w:bCs/>
    </w:rPr>
  </w:style>
  <w:style w:type="character" w:styleId="a4">
    <w:name w:val="Hyperlink"/>
    <w:basedOn w:val="a0"/>
    <w:uiPriority w:val="99"/>
    <w:unhideWhenUsed/>
    <w:rsid w:val="00110D6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10D6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10D6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6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ael.ru/ru/article/view?id=3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OSB</cp:lastModifiedBy>
  <cp:revision>4</cp:revision>
  <dcterms:created xsi:type="dcterms:W3CDTF">2026-04-08T17:22:00Z</dcterms:created>
  <dcterms:modified xsi:type="dcterms:W3CDTF">2026-04-08T17:27:00Z</dcterms:modified>
</cp:coreProperties>
</file>