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0"/>
          <w:bCs w:val="0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Дидухова А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.,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ФГБОУ ВО «Адыгейский государственный университет»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Научный руководитель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Хасанова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Г 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., 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доцент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г</w:t>
      </w:r>
      <w:r>
        <w:rPr>
          <w:rFonts w:ascii="Times New Roman" w:hAnsi="Times New Roman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Майкоп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СДЕЛКА СО СЛЕДСТВИЕМ КАК ФАКТОР РИСКА ПРИЗНАНИЯ ВИНЫ ПОД ДАВЛЕНИЕМ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Развитие институтов уголовного правосудия и активное внедрение процедуры сделки со следствием создают новые возможности для ускорения расследования преступлений и повышения эффективности правосудия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В то же время широкое использование этого института создает риск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нарушени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я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 прав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обвиняемых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включая признание вины под давлением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что требует юридического анализа и надзора со стороны суда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Сделка со следствием является правовым институтом досудебного соглашения о сотрудничестве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закреплённым в главе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40.1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УПК РФ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Под судебным соглашением о сотрудничестве понимается соглашение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заключаемое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если обвиняемый или подозреваемый обязуется совершить конкретные действия в целях содействия следствию в раскрытии и расследовании преступления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изобличении и уголовном преследовании других соучастников преступления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розыске имущества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добытого в результате преступления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/>
          <w:outline w:val="0"/>
          <w:color w:val="221f1f"/>
          <w:rtl w:val="0"/>
          <w:lang w:val="en-US"/>
          <w14:textFill>
            <w14:solidFill>
              <w14:srgbClr w14:val="231F20"/>
            </w14:solidFill>
          </w14:textFill>
        </w:rPr>
        <w:t xml:space="preserve">[1,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 4921]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В Российской практике с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2009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года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действует институт д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судебн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ых соглашений о сотрудничестве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направленный на борьбу с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организованной преступностью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и коррупцией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На практике всё ещё существуют риск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давления со стороны следствия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что может привести к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вынужденным признани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ям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 п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равоприменительной практике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данный механизм рассматривается как один из инструментов реализации задач уголовного судопроизводства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Механизм сделки предполагает подачу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подозреваемы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м или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обвиняемы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м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вместе с защитником ходатайств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а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 прокурору через следователя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указыва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какую информацию они готовы раскрыть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Следователь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и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его руководитель оценивают ходатайство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 случае согласия передают его прокурору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После изучения материалов прокурор предлагает всем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участникам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процесса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подписать досудебное соглашение о сотрудничестве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Проблема данного института в том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что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объ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ё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м информации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которую обвиняемый готов предоставить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может не соответствовать условиям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предложенным прокурором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одписыва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я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соглашение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обвиняемый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соглашается со всеми условиями и расследование продолжается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При добросовестном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выполнени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и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обязательств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выражающемся в содействии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раскрыти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ю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 преступлени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я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и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установлению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соучастников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прокурор направляет представление о соблюдени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и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условий соглашения 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дело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рассматривается в особом порядке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в соответствии со ст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317.6-317.7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УПК РФ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при котором наказание не превышает половины максимального срока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наказания санкции по соответствующей статье УК РФ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.[2,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 672]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Следует иметь в виду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что даже если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обвиняемый выполнит все условия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соглашени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прокурор вправе не признать это исполнение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отказать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 направлении соответствующего представлени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я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 в суд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 такой ситуации уголовное дело будет уже рассматриваться в общем порядке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Судебная практика показывает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что досудебное соглашение о сотрудничестве может привести к негативным последствиям для обвиняемого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 случае отказа от его реализации или прекращения сотрудничества лицо может оказаться в уязвимом положении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так как информация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предоставленная ему ранее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сохраня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ет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процессуальн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е значени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 то время как ожидаемые смягчающие последствия не наступают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Заключение соглашения не устраняет неопределенности в отношении его исхода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Смягчение приговора в ожидании последующего условно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досрочного освобождени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я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 фактически ставит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обвиняемого в зависимость от срока расследования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и судебных процедур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В итоге его положение становится более зависимым от стороны обвинения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.[3,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 276]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Фактор давления усиливается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из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за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заинтересованности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следственного органа в контроле над обвиняемым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 такой ситуации показания могут давать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ся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из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за страха более сурового наказания 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в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 xml:space="preserve"> ожидани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и завершения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расследовани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что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повышает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риск ложных обвинений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В подобных у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словиях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усиливается необходимость обеспечени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я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процессуальных гарантий защиты прав обвиняем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ого в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уголовном судопроизводстве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Особенно важно учитывать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что законодательство ограничивается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требовани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е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м добровольного согласия обвиняемого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не определяя конкретных критериев оценки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его истинной свободы воли изъявления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при заключении соглашения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.[4,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840] 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Досудебное соглашение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о сотрудничестве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является эффективным инструментом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 уголовном судопроизводстве</w:t>
      </w:r>
      <w:r>
        <w:rPr>
          <w:rFonts w:ascii="Times New Roman" w:hAnsi="Times New Roman"/>
          <w:outline w:val="0"/>
          <w:color w:val="221f1f"/>
          <w:rtl w:val="0"/>
          <w14:textFill>
            <w14:solidFill>
              <w14:srgbClr w14:val="231F2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но оно связано с созданием риска признания вины под давлением процессуальных стимулов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Для дальнейшего развития института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необходимо усиление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судебного контроля и более детальная проверка добровольности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волеизъявления обвиняемого при заключении соглашения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Литература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  <w:outline w:val="0"/>
          <w:color w:val="221f1f"/>
          <w:lang w:val="ru-RU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Уголовно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процессуальный кодекс Российской Федерации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федеральный закон от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18.12.2001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№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174-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ФЗ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ред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08.03.2026,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 изм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и доп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вступ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в силу с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19.03.2026) //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Собрание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законодательств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а Российской Федерации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–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2001.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– №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52 (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ч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.1).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– Ст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.4921.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  <w:outline w:val="0"/>
          <w:color w:val="221f1f"/>
          <w:lang w:val="ru-RU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Безлепкин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Б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Уголовный процесс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 России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Б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Безлепкин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Москва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Проспект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2024.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672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  <w:outline w:val="0"/>
          <w:color w:val="221f1f"/>
          <w:lang w:val="ru-RU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Лебедев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М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 (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ред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.).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Комментарий к Уголовно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процессуальному кодексу Российской Федерации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М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Лебедев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Москва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Издательство Юрайт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2026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276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с –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рофессиональные комментарии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Текст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электронный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Образовательная платформа Юрайт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сайт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].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21f1f"/>
          <w:rtl w:val="0"/>
          <w:lang w:val="en-US"/>
          <w14:textFill>
            <w14:solidFill>
              <w14:srgbClr w14:val="231F20"/>
            </w14:solidFill>
          </w14:textFill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  <w:instrText xml:space="preserve"> HYPERLINK "https://urait.ru/bcode/585468"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221f1f"/>
          <w:rtl w:val="0"/>
          <w:lang w:val="fr-FR"/>
          <w14:textFill>
            <w14:solidFill>
              <w14:srgbClr w14:val="231F20"/>
            </w14:solidFill>
          </w14:textFill>
        </w:rPr>
        <w:t>https://urait.ru/bcode/585468</w:t>
      </w:r>
      <w:r>
        <w:rPr>
          <w:rFonts w:ascii="Times New Roman" w:cs="Times New Roman" w:hAnsi="Times New Roman" w:eastAsia="Times New Roman"/>
          <w:outline w:val="0"/>
          <w:color w:val="221f1f"/>
          <w14:textFill>
            <w14:solidFill>
              <w14:srgbClr w14:val="231F20"/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221f1f"/>
          <w:rtl w:val="0"/>
          <w:lang w:val="en-US"/>
          <w14:textFill>
            <w14:solidFill>
              <w14:srgbClr w14:val="231F20"/>
            </w14:solidFill>
          </w14:textFill>
        </w:rPr>
        <w:t xml:space="preserve"> .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  <w:outline w:val="0"/>
          <w:color w:val="221f1f"/>
          <w:lang w:val="ru-RU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Смирнов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А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Калиновский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К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Б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Уголовно–процессуальное право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учебник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А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Смирнов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К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Б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Калиновский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Москва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Юридическое издательство Норма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, 2026.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840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>с</w:t>
      </w:r>
      <w:r>
        <w:rPr>
          <w:rFonts w:ascii="Times New Roman" w:hAnsi="Times New Roman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21f1f"/>
          <w:rtl w:val="0"/>
          <w:lang w:val="ru-RU"/>
          <w14:textFill>
            <w14:solidFill>
              <w14:srgbClr w14:val="231F2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21f1f"/>
          <w:rtl w:val="0"/>
          <w:lang w:val="en-US"/>
          <w14:textFill>
            <w14:solidFill>
              <w14:srgbClr w14:val="231F20"/>
            </w14:solidFill>
          </w14:textFill>
        </w:rPr>
        <w:t>ISBN 978-5-00156-453-9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1101"/>
        </w:tabs>
        <w:ind w:left="3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61"/>
        </w:tabs>
        <w:ind w:left="7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821"/>
        </w:tabs>
        <w:ind w:left="11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181"/>
        </w:tabs>
        <w:ind w:left="14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541"/>
        </w:tabs>
        <w:ind w:left="183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901"/>
        </w:tabs>
        <w:ind w:left="21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261"/>
        </w:tabs>
        <w:ind w:left="25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621"/>
        </w:tabs>
        <w:ind w:left="29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981"/>
        </w:tabs>
        <w:ind w:left="32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