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36"/>
          <w:szCs w:val="36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6"/>
          <w:szCs w:val="36"/>
          <w:shd w:val="clear" w:color="auto" w:fill="ffffff"/>
          <w:rtl w:val="0"/>
          <w:lang w:val="ru-RU"/>
        </w:rPr>
        <w:t>МакаоваЗ</w:t>
      </w:r>
      <w:r>
        <w:rPr>
          <w:rFonts w:ascii="Times New Roman" w:hAnsi="Times New Roman"/>
          <w:b w:val="1"/>
          <w:bCs w:val="1"/>
          <w:i w:val="1"/>
          <w:iCs w:val="1"/>
          <w:sz w:val="36"/>
          <w:szCs w:val="36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36"/>
          <w:szCs w:val="36"/>
          <w:shd w:val="clear" w:color="auto" w:fill="ffffff"/>
          <w:rtl w:val="0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sz w:val="36"/>
          <w:szCs w:val="36"/>
          <w:shd w:val="clear" w:color="auto" w:fill="ffffff"/>
          <w:rtl w:val="0"/>
        </w:rPr>
        <w:t>.,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231F20"/>
            </w14:solidFill>
          </w14:textFill>
        </w:rPr>
        <w:t>ФГБОУ ВО «Адыгейский государственный университет»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231F20"/>
            </w14:solidFill>
          </w14:textFill>
        </w:rPr>
        <w:t>Научный руководитель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Шадже М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 xml:space="preserve">Г 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к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231F20"/>
            </w14:solidFill>
          </w14:textFill>
        </w:rPr>
        <w:t>ю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н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 xml:space="preserve">., 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доцент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14:textFill>
            <w14:solidFill>
              <w14:srgbClr w14:val="231F2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г</w:t>
      </w:r>
      <w:r>
        <w:rPr>
          <w:rFonts w:ascii="Times New Roman" w:hAnsi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14:textFill>
            <w14:solidFill>
              <w14:srgbClr w14:val="231F2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21f1f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231F20"/>
            </w14:solidFill>
          </w14:textFill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221f1f"/>
          <w:sz w:val="36"/>
          <w:szCs w:val="36"/>
          <w:shd w:val="clear" w:color="auto" w:fill="ffffff"/>
          <w14:textFill>
            <w14:solidFill>
              <w14:srgbClr w14:val="231F20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after="8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МЕДИЦИНСКИЕ БЛОГИ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СОВЕТЫ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ИНТЕРНЕТЕ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МОЖНО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ВЗЫСКАТЬ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ВРЕД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ОНЛАЙН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РЕКОМЕНДАЦИИ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сегодняшний день все больше людей за медицинской помощью обращаются не к выдающимся специалистам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 социальным сетям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Люди доверяют ярким картинкам и убедительным видео больше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длинным текстам в медицинских справочниках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 зайти на страницу такого «эксперта»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ты сразу получаешь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лучше вылечить ту или иную болезнь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люди стирают грань между медицинской консультацией и обычным советом в интернете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даже близкие не могут переубедить человека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настолько сильное впечатление производят слова блогера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возникает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делать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человек полностью доверился блогеру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выслушав его совет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оказался в критической ситуации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ли требовать компенсацию за помощь в интернете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[1]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представим ситуацию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молодая девушка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решив кардинально изменить свою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доверилась блогеру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дает советы как восстановить свой организм без таблеток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Важными факторами здесь являются спокойный голос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грамотная речь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позитивные комментарии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внушают надежду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момент пользователь социальных сетей забывает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просто совет в интернете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ему представляется это уже инструкцией врача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верит каждому слову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замечая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блогер может быть просто заинтересован в продаже своих продуктов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Спустя несколько дней следования этой инструкции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человека начинает ухудшаться состояние и происходит критическая 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уже действительно нужна помощь специалиста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первые тревожные признаки игнорируются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эффект обещанных изменений кажется реальным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.101]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статье </w:t>
      </w:r>
      <w:r>
        <w:rPr>
          <w:rFonts w:ascii="Times New Roman" w:hAnsi="Times New Roman"/>
          <w:sz w:val="24"/>
          <w:szCs w:val="24"/>
          <w:rtl w:val="0"/>
        </w:rPr>
        <w:t xml:space="preserve">1064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несёт ответственность за причинённый вред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случай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вред возник вследствие действия третьих лиц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создает правовую основу для рассмотрения потенциальной ответственности блогеров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чьи советы могут привести к реальному ущербу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как доказать вину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просто «делился советом»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случае деятельность блогера может рассматриваться не как выражение личного мнения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оказание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извлечение прибыли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уже усиливает требование к качеству продукции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если у блогера есть многочисленные подписчики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доверяющие ему без проверок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.77]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зале суда «магия охватов» исчезает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Блогер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некогда обещавший чудо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превращается в частное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«не давало прямых указаний»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процессуальная сложность ложится на плечи истца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пострадавшей стороне нужно доказать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вред наступил именно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советов ответчика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не просто показать скриншоты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доказать суду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 красивой картинкой скрывался опасный алгоритм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направленный на получение выгоды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продажу курсов или рекламу добавок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таком случае ответчик становится поставщиком услуги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может представлять опасность для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данное лицо выстраивает свои продажи на доверии и страхах отчаявшихся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автоматически берет на себя предпринимательские риски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этим можно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отвечать он должен не за «мнение»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 качественный продукт по всей строгости закона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также важно учитывать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 у человека медицинское образование или хоть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квалификация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ее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может сыграть против него в зале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поэтому крайне важно сохранять критическое мышление и не поддаваться эмоциям при чтении советов онлайн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Стоит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подобные дела пока не так часто встречаются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единая судебная практика только формируется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 временем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скорее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появятся более четкие критерии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позволяющие отличить безобидные советы от потенциально опасных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[3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.88]</w:t>
      </w:r>
    </w:p>
    <w:p>
      <w:pPr>
        <w:pStyle w:val="Основной текст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заключение хочется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входим в эпоху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сказанное в социальных сетях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имеет большой вес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таком случае судебная система обязана признать обязанность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берет на себя ответственность перед миллионами пользователей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отвечать за свои поступки и проверять качество продукции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достоверность предоставляемой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мы видим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последствия виртуальных действий могут быть не менее серьёзными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 реальной жизни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Следует понимать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цена ошибки в интернете больше не измеряется удаленными комментариями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ответственность в виртуальном мире должна стать такой же осязаемой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та боль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приносит слепая вера в экран смартфона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слово имеет значение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именно на доверии строится ответственность как блогера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пользователя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Гражданский кодекс Российской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Федерации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часть вторая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от </w:t>
      </w:r>
      <w:r>
        <w:rPr>
          <w:rFonts w:ascii="Times New Roman" w:hAnsi="Times New Roman"/>
          <w:sz w:val="28"/>
          <w:szCs w:val="28"/>
          <w:rtl w:val="0"/>
        </w:rPr>
        <w:t>26.01.1996 N</w:t>
      </w:r>
      <w:r>
        <w:rPr>
          <w:rFonts w:ascii="Times New Roman" w:hAnsi="Times New Roman" w:hint="default"/>
          <w:sz w:val="28"/>
          <w:szCs w:val="28"/>
          <w:rtl w:val="0"/>
        </w:rPr>
        <w:t>º</w:t>
      </w:r>
      <w:r>
        <w:rPr>
          <w:rFonts w:ascii="Times New Roman" w:hAnsi="Times New Roman"/>
          <w:sz w:val="28"/>
          <w:szCs w:val="28"/>
          <w:rtl w:val="0"/>
        </w:rPr>
        <w:t>14-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ФЗ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ред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действующая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</w:t>
      </w:r>
      <w:r>
        <w:rPr>
          <w:rFonts w:ascii="Times New Roman" w:hAnsi="Times New Roman" w:hint="default"/>
          <w:rtl w:val="0"/>
        </w:rPr>
        <w:t>Белякова 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Гражданско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правовая ответственность за причинение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вреда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 w:hint="default"/>
          <w:rtl w:val="0"/>
          <w:lang w:val="ru-RU"/>
        </w:rPr>
        <w:t xml:space="preserve">теория и практика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Белякова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>.:</w:t>
      </w:r>
      <w:r>
        <w:rPr>
          <w:rFonts w:ascii="Times New Roman" w:hAnsi="Times New Roman" w:hint="default"/>
          <w:rtl w:val="0"/>
        </w:rPr>
        <w:t>Изд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во Моск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ун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та</w:t>
      </w:r>
      <w:r>
        <w:rPr>
          <w:rFonts w:ascii="Times New Roman" w:hAnsi="Times New Roman"/>
          <w:rtl w:val="0"/>
        </w:rPr>
        <w:t>, 1986. - 149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﻿﻿﻿</w:t>
      </w: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Рассолов 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Право и Интернет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Теория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 xml:space="preserve">кибернетического права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Рассолов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Норма</w:t>
      </w:r>
      <w:r>
        <w:rPr>
          <w:rFonts w:ascii="Times New Roman" w:hAnsi="Times New Roman"/>
          <w:rtl w:val="0"/>
        </w:rPr>
        <w:t xml:space="preserve">, 2021. - 304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- ISBN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</w:rPr>
        <w:t>978-5-00156-142-2.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firstLine="709"/>
        <w:jc w:val="both"/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/>
          <w:rtl w:val="0"/>
        </w:rPr>
        <w:t>﻿﻿﻿</w:t>
      </w:r>
      <w:r>
        <w:rPr>
          <w:rFonts w:ascii="Times New Roman" w:hAnsi="Times New Roman" w:hint="default"/>
          <w:rtl w:val="0"/>
        </w:rPr>
        <w:t>Позднякова 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Гражданско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правовая ответственность за причинение вреда жизни или здоровью гражданина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Позднякова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</w:rPr>
        <w:t>Проспект</w:t>
      </w:r>
      <w:r>
        <w:rPr>
          <w:rFonts w:ascii="Times New Roman" w:hAnsi="Times New Roman"/>
          <w:rtl w:val="0"/>
        </w:rPr>
        <w:t xml:space="preserve">, 2025. -142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