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ВЛИЯНИЕ СТРАНЫ ПРОИСХОЖДЕНИЯ ТОВАРА НА НАЛОГОВУЮ НАГРУЗКУ ИМПОРТЕРА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Набокова Д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., </w:t>
      </w:r>
    </w:p>
    <w:p>
      <w:pPr>
        <w:pStyle w:val="По умолчанию A"/>
        <w:suppressAutoHyphens w:val="1"/>
        <w:spacing w:before="0" w:line="240" w:lineRule="auto"/>
        <w:ind w:firstLine="700"/>
        <w:jc w:val="righ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Майкоп</w:t>
      </w:r>
    </w:p>
    <w:p>
      <w:pPr>
        <w:pStyle w:val="По умолчанию A"/>
        <w:suppressAutoHyphens w:val="1"/>
        <w:spacing w:before="0" w:line="240" w:lineRule="auto"/>
        <w:ind w:firstLine="700"/>
        <w:jc w:val="righ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Научный руководитель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Мирзоян Р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Э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ю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н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доцент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,</w:t>
      </w:r>
    </w:p>
    <w:p>
      <w:pPr>
        <w:pStyle w:val="По умолчанию A"/>
        <w:suppressAutoHyphens w:val="1"/>
        <w:spacing w:before="0" w:line="240" w:lineRule="auto"/>
        <w:ind w:firstLine="700"/>
        <w:jc w:val="righ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Майкоп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условиях глобализации мировой экономики и активного развития международной торговли особую значимость приобретает вопрос формирования налоговой нагрузки на импортеров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Существенным фактором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влияющим на размер обязательных платежей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является страна происхождения товара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рамках международного регулирования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нормы Всемирной Торговой Организации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страна происхождения выступает ключевым критерием для применения тарифных льгот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антидемпинговых мер и иных инструментов торговой политики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Страна происхождения товара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государство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котором товар был полностью произведен либо подвергся достаточной переработке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Определение происхождения товара осуществляется в соответствии с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международными соглашениями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национальным таможенным законодательством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нормами ВТО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Критерии происхождения включают принцип полностью произведенного товара и принцип достаточной переработки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есть изменение товарной позиции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добавленная стоимость и так далее </w:t>
      </w:r>
      <w:r>
        <w:rPr>
          <w:rFonts w:ascii="Times New Roman" w:hAnsi="Times New Roman"/>
          <w:rtl w:val="0"/>
          <w:lang w:val="ru-RU"/>
        </w:rPr>
        <w:t>[1].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Налоговая нагрузка импортера формируется за счет следующих платежей </w:t>
      </w:r>
      <w:r>
        <w:rPr>
          <w:rFonts w:ascii="Times New Roman" w:hAnsi="Times New Roman"/>
          <w:rtl w:val="0"/>
          <w:lang w:val="ru-RU"/>
        </w:rPr>
        <w:t>[2]:</w:t>
      </w:r>
    </w:p>
    <w:p>
      <w:pPr>
        <w:pStyle w:val="По умолчанию A"/>
        <w:numPr>
          <w:ilvl w:val="0"/>
          <w:numId w:val="4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Таможенная пошлина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обязательный платеж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взимаемый государством при ввозе или вывозе товаров через границу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Выполняет две ключевые функции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защищает внутренний рынок от чрезмерного импорта и пополняет государственный бюджет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numPr>
          <w:ilvl w:val="0"/>
          <w:numId w:val="4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Налог на добавленную стоимость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косвенный налог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форма изъятия в бюджет государства части добавленной стоимости товара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работы или услуги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создается в процессе производства товаров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работ и услуг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numPr>
          <w:ilvl w:val="0"/>
          <w:numId w:val="4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Акциз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косвенный налог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накладывается в момент производства на товары массового потребления внутри страны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A"/>
        <w:numPr>
          <w:ilvl w:val="0"/>
          <w:numId w:val="4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Таможенные сборы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обязательный платеж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таможня собирает за совершение операций по выпуску товаров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Размер платежей напрямую зависит от страны происхождения товара и применяемого торгового режима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Страна происхождения товара определяет применение одного из следующих режимов </w:t>
      </w:r>
      <w:r>
        <w:rPr>
          <w:rFonts w:ascii="Times New Roman" w:hAnsi="Times New Roman"/>
          <w:rtl w:val="0"/>
          <w:lang w:val="ru-RU"/>
        </w:rPr>
        <w:t>[3]:</w:t>
      </w:r>
    </w:p>
    <w:p>
      <w:pPr>
        <w:pStyle w:val="По умолчанию A"/>
        <w:numPr>
          <w:ilvl w:val="0"/>
          <w:numId w:val="5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Режим наибольшего благоприятствования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применяется к большинству стран и предполагает базовые ставки таможенных пошлин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numPr>
          <w:ilvl w:val="0"/>
          <w:numId w:val="4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Преференциальный режим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предусматривает снижение или полную отмену пошлин для товаров из стран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которыми заключены торговые соглашения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numPr>
          <w:ilvl w:val="0"/>
          <w:numId w:val="4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Дискриминационные меры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в отдельных случаях могут применяться повышенные ставки пошлин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антидемпинговые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компенсационные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что увеличивает налоговую нагрузку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Международные соглашения играют ключевую роль в формировании налоговой нагрузки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 таким соглашениям относятся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соглашения о свободной торговле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таможенные союзы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специальные преференциальные режимы для развивающихся стран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Они позволяют импортёрам значительно снизить издержки при условии соблюдения правил происхождения товаров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 практике импортеры сталкиваются с рядом проблем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сложность подтверждения страны происхождения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различия в национальных правилах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риск доначисления таможенных платежей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необходимость документального подтверждения преференций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Ошибки в определении страны происхождения могут привести к увеличению налоговой нагрузки и применению штрафных санкций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для снижения налоговой нагрузки импортёрам рекомендуется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использовать преференциальные торговые режимы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тщательно анализировать цепочки поставок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корректно оформлять сертификаты происхождения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учитывать изменения в международном торговом законодательстве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Таким образом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страна происхождения товара является одним из ключевых факторов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влияющих на налоговую нагрузку импортёра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 правильности её определения зависит применение тарифных ставок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возможность использования льгот и общий уровень затрат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условиях глобализации и развития международной торговли значение данного фактора продолжает возрастать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требует от участников внешнеэкономической деятельности высокого уровня компетентности и внимательного подхода к вопросам таможенного регулирования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Список литературы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Соглашение о правилах определения происхождения товаров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: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международное соглашение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 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заключено в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Марракеш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15.04.1994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Марракешское соглашение об учреждении </w:t>
      </w:r>
      <w:r>
        <w:rPr>
          <w:rFonts w:ascii="Times New Roman" w:hAnsi="Times New Roman" w:hint="default"/>
          <w:outline w:val="0"/>
          <w:color w:val="0000ee"/>
          <w:sz w:val="24"/>
          <w:szCs w:val="24"/>
          <w:u w:val="single" w:color="0000ee"/>
          <w:rtl w:val="0"/>
          <w:lang w:val="ru-RU"/>
          <w14:textFill>
            <w14:solidFill>
              <w14:srgbClr w14:val="0000EE"/>
            </w14:solidFill>
          </w14:textFill>
        </w:rPr>
        <w:t>Всемирная торговая организация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>, 1994.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Налоговый кодекс Российской Федерации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31.07.1998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146-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Собрание законодательства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1998.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 3824.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Гусейнова 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Правовые основы Таможенного налогообложения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Экономика и бизнес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/>
          <w:sz w:val="24"/>
          <w:szCs w:val="24"/>
          <w:rtl w:val="0"/>
          <w:lang w:val="en-US"/>
        </w:rPr>
        <w:t>URL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"https://cyberleninka.ru/article/n/pravovye-osnovy-tamozhennogo-nalogooblozheniya"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https://cyberleninka.ru/article/n/pravovye-osnovy-tamozhennogo-nalogooblozheniya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 03.04.2026).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Тире"/>
  </w:abstractNum>
  <w:abstractNum w:abstractNumId="1">
    <w:multiLevelType w:val="hybridMultilevel"/>
    <w:styleLink w:val="Тире"/>
    <w:lvl w:ilvl="0">
      <w:start w:val="1"/>
      <w:numFmt w:val="bullet"/>
      <w:suff w:val="tab"/>
      <w:lvlText w:val="-"/>
      <w:lvlJc w:val="left"/>
      <w:pPr>
        <w:tabs>
          <w:tab w:val="num" w:pos="971"/>
        </w:tabs>
        <w:ind w:left="262" w:firstLine="4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971"/>
        </w:tabs>
        <w:ind w:left="262" w:firstLine="4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971"/>
          <w:tab w:val="num" w:pos="1189"/>
        </w:tabs>
        <w:ind w:left="480" w:firstLine="4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971"/>
          <w:tab w:val="num" w:pos="1429"/>
        </w:tabs>
        <w:ind w:left="720" w:firstLine="4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971"/>
          <w:tab w:val="num" w:pos="1669"/>
        </w:tabs>
        <w:ind w:left="960" w:firstLine="4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971"/>
          <w:tab w:val="num" w:pos="1909"/>
        </w:tabs>
        <w:ind w:left="1200" w:firstLine="4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971"/>
          <w:tab w:val="num" w:pos="2149"/>
        </w:tabs>
        <w:ind w:left="1440" w:firstLine="4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971"/>
          <w:tab w:val="num" w:pos="2389"/>
        </w:tabs>
        <w:ind w:left="1680" w:firstLine="4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971"/>
          <w:tab w:val="num" w:pos="2629"/>
        </w:tabs>
        <w:ind w:left="1920" w:firstLine="4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С числами"/>
  </w:abstractNum>
  <w:abstractNum w:abstractNumId="3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962"/>
        </w:tabs>
        <w:ind w:left="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62"/>
          <w:tab w:val="num" w:pos="1509"/>
        </w:tabs>
        <w:ind w:left="800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62"/>
          <w:tab w:val="num" w:pos="2309"/>
        </w:tabs>
        <w:ind w:left="1600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62"/>
          <w:tab w:val="num" w:pos="3109"/>
        </w:tabs>
        <w:ind w:left="2400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62"/>
          <w:tab w:val="num" w:pos="3909"/>
        </w:tabs>
        <w:ind w:left="3200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62"/>
          <w:tab w:val="num" w:pos="4709"/>
        </w:tabs>
        <w:ind w:left="4000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62"/>
          <w:tab w:val="num" w:pos="5509"/>
        </w:tabs>
        <w:ind w:left="4800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62"/>
          <w:tab w:val="num" w:pos="6309"/>
        </w:tabs>
        <w:ind w:left="5600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62"/>
          <w:tab w:val="num" w:pos="7109"/>
        </w:tabs>
        <w:ind w:left="6400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С числами.0"/>
  </w:abstractNum>
  <w:abstractNum w:abstractNumId="5">
    <w:multiLevelType w:val="hybridMultilevel"/>
    <w:styleLink w:val="С числами.0"/>
    <w:lvl w:ilvl="0">
      <w:start w:val="1"/>
      <w:numFmt w:val="decimal"/>
      <w:suff w:val="tab"/>
      <w:lvlText w:val="%1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305"/>
        </w:tabs>
        <w:ind w:left="596" w:firstLine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096"/>
        </w:tabs>
        <w:ind w:left="387" w:firstLine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896"/>
        </w:tabs>
        <w:ind w:left="1187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987" w:firstLine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3496"/>
        </w:tabs>
        <w:ind w:left="2787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296"/>
        </w:tabs>
        <w:ind w:left="3587" w:hanging="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5096"/>
        </w:tabs>
        <w:ind w:left="4387" w:firstLine="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5896"/>
        </w:tabs>
        <w:ind w:left="5187" w:firstLine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Тире">
    <w:name w:val="Тире"/>
    <w:pPr>
      <w:numPr>
        <w:numId w:val="1"/>
      </w:numPr>
    </w:pPr>
  </w:style>
  <w:style w:type="numbering" w:styleId="С числами">
    <w:name w:val="С числами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С числами.0">
    <w:name w:val="С числами.0"/>
    <w:pPr>
      <w:numPr>
        <w:numId w:val="6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:lang w:val="ru-RU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