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6E" w:rsidRPr="00A179BE" w:rsidRDefault="004F0DC0" w:rsidP="00A179B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>АЛИБИ В КОНТЕКСТЕ ПОИСКОВО</w:t>
      </w:r>
      <w:r w:rsidRPr="00A179BE">
        <w:rPr>
          <w:rFonts w:ascii="Times New Roman" w:hAnsi="Times New Roman"/>
        </w:rPr>
        <w:t>-</w:t>
      </w:r>
      <w:r w:rsidRPr="00A179BE">
        <w:rPr>
          <w:rFonts w:ascii="Times New Roman" w:hAnsi="Times New Roman"/>
        </w:rPr>
        <w:t>ПОЗНАВАТЕЛЬНОЙ ДЕЯТЕЛЬНОСТИ СЛЕДОВАТЕЛЯ</w:t>
      </w:r>
      <w:r w:rsidRPr="00A179BE">
        <w:rPr>
          <w:rFonts w:ascii="Times New Roman" w:hAnsi="Times New Roman"/>
        </w:rPr>
        <w:t xml:space="preserve">: </w:t>
      </w:r>
      <w:r w:rsidRPr="00A179BE">
        <w:rPr>
          <w:rFonts w:ascii="Times New Roman" w:hAnsi="Times New Roman"/>
        </w:rPr>
        <w:t>ПРОБЛЕМЫ ПОНИМАНИЯ</w:t>
      </w:r>
    </w:p>
    <w:p w:rsidR="00681A6E" w:rsidRPr="00A179BE" w:rsidRDefault="004F0DC0" w:rsidP="00A179B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A179BE">
        <w:rPr>
          <w:rFonts w:ascii="Times New Roman" w:hAnsi="Times New Roman"/>
          <w:i/>
          <w:iCs/>
        </w:rPr>
        <w:t>Набокова Д</w:t>
      </w:r>
      <w:r w:rsidRPr="00A179BE">
        <w:rPr>
          <w:rFonts w:ascii="Times New Roman" w:hAnsi="Times New Roman"/>
          <w:i/>
          <w:iCs/>
        </w:rPr>
        <w:t>.</w:t>
      </w:r>
      <w:r w:rsidRPr="00A179BE">
        <w:rPr>
          <w:rFonts w:ascii="Times New Roman" w:hAnsi="Times New Roman"/>
          <w:i/>
          <w:iCs/>
        </w:rPr>
        <w:t>А</w:t>
      </w:r>
      <w:r w:rsidRPr="00A179BE">
        <w:rPr>
          <w:rFonts w:ascii="Times New Roman" w:hAnsi="Times New Roman"/>
          <w:i/>
          <w:iCs/>
        </w:rPr>
        <w:t xml:space="preserve">., 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0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 w:rsidRPr="00A179BE">
        <w:rPr>
          <w:rFonts w:ascii="Times New Roman" w:hAnsi="Times New Roman"/>
          <w:i/>
          <w:iCs/>
          <w:shd w:val="clear" w:color="auto" w:fill="FFFFFF"/>
        </w:rPr>
        <w:t xml:space="preserve">ФГБОУ </w:t>
      </w:r>
      <w:proofErr w:type="gramStart"/>
      <w:r w:rsidRPr="00A179BE">
        <w:rPr>
          <w:rFonts w:ascii="Times New Roman" w:hAnsi="Times New Roman"/>
          <w:i/>
          <w:iCs/>
          <w:shd w:val="clear" w:color="auto" w:fill="FFFFFF"/>
        </w:rPr>
        <w:t>ВО</w:t>
      </w:r>
      <w:proofErr w:type="gramEnd"/>
      <w:r w:rsidRPr="00A179BE">
        <w:rPr>
          <w:rFonts w:ascii="Times New Roman" w:hAnsi="Times New Roman"/>
          <w:i/>
          <w:iCs/>
          <w:shd w:val="clear" w:color="auto" w:fill="FFFFFF"/>
        </w:rPr>
        <w:t xml:space="preserve"> «Адыгейский государственный университет»</w:t>
      </w:r>
      <w:r w:rsidRPr="00A179BE">
        <w:rPr>
          <w:rFonts w:ascii="Times New Roman" w:hAnsi="Times New Roman"/>
          <w:i/>
          <w:iCs/>
          <w:shd w:val="clear" w:color="auto" w:fill="FFFFFF"/>
        </w:rPr>
        <w:t xml:space="preserve">, </w:t>
      </w:r>
      <w:r w:rsidRPr="00A179BE">
        <w:rPr>
          <w:rFonts w:ascii="Times New Roman" w:hAnsi="Times New Roman"/>
          <w:i/>
          <w:iCs/>
          <w:shd w:val="clear" w:color="auto" w:fill="FFFFFF"/>
        </w:rPr>
        <w:t>г</w:t>
      </w:r>
      <w:r w:rsidRPr="00A179BE">
        <w:rPr>
          <w:rFonts w:ascii="Times New Roman" w:hAnsi="Times New Roman"/>
          <w:i/>
          <w:iCs/>
          <w:shd w:val="clear" w:color="auto" w:fill="FFFFFF"/>
        </w:rPr>
        <w:t xml:space="preserve">. </w:t>
      </w:r>
      <w:r w:rsidRPr="00A179BE">
        <w:rPr>
          <w:rFonts w:ascii="Times New Roman" w:hAnsi="Times New Roman"/>
          <w:i/>
          <w:iCs/>
          <w:shd w:val="clear" w:color="auto" w:fill="FFFFFF"/>
        </w:rPr>
        <w:t>Майкоп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0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 w:rsidRPr="00A179BE">
        <w:rPr>
          <w:rFonts w:ascii="Times New Roman" w:hAnsi="Times New Roman"/>
          <w:i/>
          <w:iCs/>
          <w:shd w:val="clear" w:color="auto" w:fill="FFFFFF"/>
        </w:rPr>
        <w:t>Научный руководитель</w:t>
      </w:r>
      <w:r w:rsidRPr="00A179BE">
        <w:rPr>
          <w:rFonts w:ascii="Times New Roman" w:hAnsi="Times New Roman"/>
          <w:i/>
          <w:iCs/>
          <w:shd w:val="clear" w:color="auto" w:fill="FFFFFF"/>
        </w:rPr>
        <w:t xml:space="preserve">: </w:t>
      </w:r>
      <w:proofErr w:type="spellStart"/>
      <w:r w:rsidRPr="00A179BE">
        <w:rPr>
          <w:rFonts w:ascii="Times New Roman" w:hAnsi="Times New Roman"/>
          <w:i/>
          <w:iCs/>
          <w:shd w:val="clear" w:color="auto" w:fill="FFFFFF"/>
        </w:rPr>
        <w:t>Цеева</w:t>
      </w:r>
      <w:proofErr w:type="spellEnd"/>
      <w:r w:rsidRPr="00A179BE">
        <w:rPr>
          <w:rFonts w:ascii="Times New Roman" w:hAnsi="Times New Roman"/>
          <w:i/>
          <w:iCs/>
          <w:shd w:val="clear" w:color="auto" w:fill="FFFFFF"/>
        </w:rPr>
        <w:t xml:space="preserve"> С</w:t>
      </w:r>
      <w:r w:rsidRPr="00A179BE">
        <w:rPr>
          <w:rFonts w:ascii="Times New Roman" w:hAnsi="Times New Roman"/>
          <w:i/>
          <w:iCs/>
          <w:shd w:val="clear" w:color="auto" w:fill="FFFFFF"/>
        </w:rPr>
        <w:t>.</w:t>
      </w:r>
      <w:r w:rsidRPr="00A179BE">
        <w:rPr>
          <w:rFonts w:ascii="Times New Roman" w:hAnsi="Times New Roman"/>
          <w:i/>
          <w:iCs/>
          <w:shd w:val="clear" w:color="auto" w:fill="FFFFFF"/>
        </w:rPr>
        <w:t>К</w:t>
      </w:r>
      <w:r w:rsidRPr="00A179BE">
        <w:rPr>
          <w:rFonts w:ascii="Times New Roman" w:hAnsi="Times New Roman"/>
          <w:i/>
          <w:iCs/>
          <w:shd w:val="clear" w:color="auto" w:fill="FFFFFF"/>
        </w:rPr>
        <w:t xml:space="preserve">., </w:t>
      </w:r>
      <w:proofErr w:type="spellStart"/>
      <w:r w:rsidRPr="00A179BE">
        <w:rPr>
          <w:rFonts w:ascii="Times New Roman" w:hAnsi="Times New Roman"/>
          <w:i/>
          <w:iCs/>
          <w:shd w:val="clear" w:color="auto" w:fill="FFFFFF"/>
        </w:rPr>
        <w:t>к</w:t>
      </w:r>
      <w:proofErr w:type="gramStart"/>
      <w:r w:rsidRPr="00A179BE">
        <w:rPr>
          <w:rFonts w:ascii="Times New Roman" w:hAnsi="Times New Roman"/>
          <w:i/>
          <w:iCs/>
          <w:shd w:val="clear" w:color="auto" w:fill="FFFFFF"/>
        </w:rPr>
        <w:t>.</w:t>
      </w:r>
      <w:r w:rsidRPr="00A179BE">
        <w:rPr>
          <w:rFonts w:ascii="Times New Roman" w:hAnsi="Times New Roman"/>
          <w:i/>
          <w:iCs/>
          <w:shd w:val="clear" w:color="auto" w:fill="FFFFFF"/>
        </w:rPr>
        <w:t>п</w:t>
      </w:r>
      <w:proofErr w:type="gramEnd"/>
      <w:r w:rsidR="0075773F" w:rsidRPr="00A179BE">
        <w:rPr>
          <w:rFonts w:ascii="Times New Roman" w:hAnsi="Times New Roman"/>
          <w:i/>
          <w:iCs/>
          <w:shd w:val="clear" w:color="auto" w:fill="FFFFFF"/>
        </w:rPr>
        <w:t>ед</w:t>
      </w:r>
      <w:r w:rsidRPr="00A179BE">
        <w:rPr>
          <w:rFonts w:ascii="Times New Roman" w:hAnsi="Times New Roman"/>
          <w:i/>
          <w:iCs/>
          <w:shd w:val="clear" w:color="auto" w:fill="FFFFFF"/>
        </w:rPr>
        <w:t>.</w:t>
      </w:r>
      <w:r w:rsidRPr="00A179BE">
        <w:rPr>
          <w:rFonts w:ascii="Times New Roman" w:hAnsi="Times New Roman"/>
          <w:i/>
          <w:iCs/>
          <w:shd w:val="clear" w:color="auto" w:fill="FFFFFF"/>
        </w:rPr>
        <w:t>н</w:t>
      </w:r>
      <w:proofErr w:type="spellEnd"/>
      <w:r w:rsidRPr="00A179BE">
        <w:rPr>
          <w:rFonts w:ascii="Times New Roman" w:hAnsi="Times New Roman"/>
          <w:i/>
          <w:iCs/>
          <w:shd w:val="clear" w:color="auto" w:fill="FFFFFF"/>
        </w:rPr>
        <w:t xml:space="preserve">., </w:t>
      </w:r>
      <w:r w:rsidRPr="00A179BE">
        <w:rPr>
          <w:rFonts w:ascii="Times New Roman" w:hAnsi="Times New Roman"/>
          <w:i/>
          <w:iCs/>
          <w:shd w:val="clear" w:color="auto" w:fill="FFFFFF"/>
        </w:rPr>
        <w:t>доцент</w:t>
      </w:r>
      <w:r w:rsidRPr="00A179BE">
        <w:rPr>
          <w:rFonts w:ascii="Times New Roman" w:hAnsi="Times New Roman"/>
          <w:i/>
          <w:iCs/>
          <w:shd w:val="clear" w:color="auto" w:fill="FFFFFF"/>
        </w:rPr>
        <w:t>,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0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 w:rsidRPr="00A179BE">
        <w:rPr>
          <w:rFonts w:ascii="Times New Roman" w:hAnsi="Times New Roman"/>
          <w:i/>
          <w:iCs/>
          <w:shd w:val="clear" w:color="auto" w:fill="FFFFFF"/>
        </w:rPr>
        <w:t xml:space="preserve">ФГБОУ </w:t>
      </w:r>
      <w:proofErr w:type="gramStart"/>
      <w:r w:rsidRPr="00A179BE">
        <w:rPr>
          <w:rFonts w:ascii="Times New Roman" w:hAnsi="Times New Roman"/>
          <w:i/>
          <w:iCs/>
          <w:shd w:val="clear" w:color="auto" w:fill="FFFFFF"/>
        </w:rPr>
        <w:t>ВО</w:t>
      </w:r>
      <w:proofErr w:type="gramEnd"/>
      <w:r w:rsidRPr="00A179BE">
        <w:rPr>
          <w:rFonts w:ascii="Times New Roman" w:hAnsi="Times New Roman"/>
          <w:i/>
          <w:iCs/>
          <w:shd w:val="clear" w:color="auto" w:fill="FFFFFF"/>
        </w:rPr>
        <w:t xml:space="preserve"> «Адыгейский государственный </w:t>
      </w:r>
      <w:r w:rsidRPr="00A179BE">
        <w:rPr>
          <w:rFonts w:ascii="Times New Roman" w:hAnsi="Times New Roman"/>
          <w:i/>
          <w:iCs/>
          <w:shd w:val="clear" w:color="auto" w:fill="FFFFFF"/>
        </w:rPr>
        <w:t>университет»</w:t>
      </w:r>
      <w:r w:rsidRPr="00A179BE">
        <w:rPr>
          <w:rFonts w:ascii="Times New Roman" w:hAnsi="Times New Roman"/>
          <w:i/>
          <w:iCs/>
          <w:shd w:val="clear" w:color="auto" w:fill="FFFFFF"/>
        </w:rPr>
        <w:t xml:space="preserve">, </w:t>
      </w:r>
      <w:r w:rsidRPr="00A179BE">
        <w:rPr>
          <w:rFonts w:ascii="Times New Roman" w:hAnsi="Times New Roman"/>
          <w:i/>
          <w:iCs/>
          <w:shd w:val="clear" w:color="auto" w:fill="FFFFFF"/>
        </w:rPr>
        <w:t>г</w:t>
      </w:r>
      <w:r w:rsidRPr="00A179BE">
        <w:rPr>
          <w:rFonts w:ascii="Times New Roman" w:hAnsi="Times New Roman"/>
          <w:i/>
          <w:iCs/>
          <w:shd w:val="clear" w:color="auto" w:fill="FFFFFF"/>
        </w:rPr>
        <w:t xml:space="preserve">. </w:t>
      </w:r>
      <w:r w:rsidRPr="00A179BE">
        <w:rPr>
          <w:rFonts w:ascii="Times New Roman" w:hAnsi="Times New Roman"/>
          <w:i/>
          <w:iCs/>
          <w:shd w:val="clear" w:color="auto" w:fill="FFFFFF"/>
        </w:rPr>
        <w:t>Майкоп</w:t>
      </w:r>
    </w:p>
    <w:p w:rsidR="00681A6E" w:rsidRPr="00A179BE" w:rsidRDefault="00681A6E" w:rsidP="00A179B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>В уголовном процессе установление истины является ключевой задачей следователя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Одним из важнейших элементов доказательной деятельности выступает проверка алиби подозреваемого или обвиняемого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 xml:space="preserve">Алиби традиционно рассматривается как </w:t>
      </w:r>
      <w:r w:rsidRPr="00A179BE">
        <w:rPr>
          <w:rFonts w:ascii="Times New Roman" w:hAnsi="Times New Roman"/>
        </w:rPr>
        <w:t>обстоятельство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исключающее возможность совершения лицом преступления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Однако в контексте поисково</w:t>
      </w:r>
      <w:r w:rsidRPr="00A179BE">
        <w:rPr>
          <w:rFonts w:ascii="Times New Roman" w:hAnsi="Times New Roman"/>
        </w:rPr>
        <w:t>-</w:t>
      </w:r>
      <w:r w:rsidRPr="00A179BE">
        <w:rPr>
          <w:rFonts w:ascii="Times New Roman" w:hAnsi="Times New Roman"/>
        </w:rPr>
        <w:t>познавательной деятельности следователя понимание алиби выходит за рамки формального подхода и приобретает более сложный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многогранный характер</w:t>
      </w:r>
      <w:r w:rsidRPr="00A179BE">
        <w:rPr>
          <w:rFonts w:ascii="Times New Roman" w:hAnsi="Times New Roman"/>
        </w:rPr>
        <w:t xml:space="preserve">. 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 xml:space="preserve">В </w:t>
      </w:r>
      <w:r w:rsidRPr="00A179BE">
        <w:rPr>
          <w:rFonts w:ascii="Times New Roman" w:hAnsi="Times New Roman"/>
        </w:rPr>
        <w:t>современной уголовно</w:t>
      </w:r>
      <w:r w:rsidRPr="00A179BE">
        <w:rPr>
          <w:rFonts w:ascii="Times New Roman" w:hAnsi="Times New Roman"/>
        </w:rPr>
        <w:t>-</w:t>
      </w:r>
      <w:r w:rsidRPr="00A179BE">
        <w:rPr>
          <w:rFonts w:ascii="Times New Roman" w:hAnsi="Times New Roman"/>
        </w:rPr>
        <w:t>процессуальной и криминалистической литературе проблема алиби приобретает особую актуальность в связи с необходимостью обеспечения полноты и объективности расследования</w:t>
      </w:r>
      <w:r w:rsidRPr="00A179BE">
        <w:rPr>
          <w:rFonts w:ascii="Times New Roman" w:hAnsi="Times New Roman"/>
        </w:rPr>
        <w:t>.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A179BE">
        <w:rPr>
          <w:rFonts w:ascii="Times New Roman" w:hAnsi="Times New Roman"/>
        </w:rPr>
        <w:t>В п</w:t>
      </w:r>
      <w:r w:rsidRPr="00A179BE">
        <w:rPr>
          <w:rFonts w:ascii="Times New Roman" w:hAnsi="Times New Roman"/>
        </w:rPr>
        <w:t xml:space="preserve">. 1 </w:t>
      </w:r>
      <w:r w:rsidRPr="00A179BE">
        <w:rPr>
          <w:rFonts w:ascii="Times New Roman" w:hAnsi="Times New Roman"/>
        </w:rPr>
        <w:t>ст</w:t>
      </w:r>
      <w:r w:rsidRPr="00A179BE">
        <w:rPr>
          <w:rFonts w:ascii="Times New Roman" w:hAnsi="Times New Roman"/>
        </w:rPr>
        <w:t xml:space="preserve">. 5 </w:t>
      </w:r>
      <w:r w:rsidRPr="00A179BE">
        <w:rPr>
          <w:rFonts w:ascii="Times New Roman" w:hAnsi="Times New Roman"/>
        </w:rPr>
        <w:t>УПК РФ алиби определяется как нахождение подозреваем</w:t>
      </w:r>
      <w:r w:rsidRPr="00A179BE">
        <w:rPr>
          <w:rFonts w:ascii="Times New Roman" w:hAnsi="Times New Roman"/>
        </w:rPr>
        <w:t>ого или обвиняемого в момент совершения преступления в другом месте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однако в перечне обстоятельств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подлежащих</w:t>
      </w:r>
      <w:r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доказыванию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закрепленном в ст</w:t>
      </w:r>
      <w:r w:rsidRPr="00A179BE">
        <w:rPr>
          <w:rFonts w:ascii="Times New Roman" w:hAnsi="Times New Roman"/>
        </w:rPr>
        <w:t xml:space="preserve">. 73 </w:t>
      </w:r>
      <w:r w:rsidRPr="00A179BE">
        <w:rPr>
          <w:rFonts w:ascii="Times New Roman" w:hAnsi="Times New Roman"/>
        </w:rPr>
        <w:t>УПК РФ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алиби не упоминается</w:t>
      </w:r>
      <w:r w:rsidR="0075773F" w:rsidRPr="00A179BE">
        <w:rPr>
          <w:rFonts w:ascii="Times New Roman" w:hAnsi="Times New Roman"/>
        </w:rPr>
        <w:t xml:space="preserve"> []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Так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создается противоречие между нормативным закреплением понятия алиби и отсу</w:t>
      </w:r>
      <w:r w:rsidRPr="00A179BE">
        <w:rPr>
          <w:rFonts w:ascii="Times New Roman" w:hAnsi="Times New Roman"/>
        </w:rPr>
        <w:t>тствием его процессуального значения в структуре предмета доказывания и подобная ситуация создает правовую неопределенность и</w:t>
      </w:r>
      <w:proofErr w:type="gramEnd"/>
      <w:r w:rsidRPr="00A179BE">
        <w:rPr>
          <w:rFonts w:ascii="Times New Roman" w:hAnsi="Times New Roman"/>
        </w:rPr>
        <w:t xml:space="preserve"> приводит к неоднозначной практике оценки данного обстоятельства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Но алиби фактически уже участвует в процессе установления обстоят</w:t>
      </w:r>
      <w:r w:rsidRPr="00A179BE">
        <w:rPr>
          <w:rFonts w:ascii="Times New Roman" w:hAnsi="Times New Roman"/>
        </w:rPr>
        <w:t>ель</w:t>
      </w:r>
      <w:proofErr w:type="gramStart"/>
      <w:r w:rsidRPr="00A179BE">
        <w:rPr>
          <w:rFonts w:ascii="Times New Roman" w:hAnsi="Times New Roman"/>
        </w:rPr>
        <w:t>ств пр</w:t>
      </w:r>
      <w:proofErr w:type="gramEnd"/>
      <w:r w:rsidRPr="00A179BE">
        <w:rPr>
          <w:rFonts w:ascii="Times New Roman" w:hAnsi="Times New Roman"/>
        </w:rPr>
        <w:t>еступления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поскольку связано с выяснением времени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места и способа совершения деяния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В этой связи алиби не может рассматриваться исключительно как вспомогательный довод стороны защиты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Напротив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 xml:space="preserve">оно должно восприниматься как юридически значимое </w:t>
      </w:r>
      <w:r w:rsidRPr="00A179BE">
        <w:rPr>
          <w:rFonts w:ascii="Times New Roman" w:hAnsi="Times New Roman"/>
        </w:rPr>
        <w:t>обстоятельство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требующее обязательной проверки следователем</w:t>
      </w:r>
      <w:r w:rsidRPr="00A179BE">
        <w:rPr>
          <w:rFonts w:ascii="Times New Roman" w:hAnsi="Times New Roman"/>
        </w:rPr>
        <w:t xml:space="preserve">.  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>Формальное отношение к проверке алиби либо отказ от его исследования может привести к нарушению принципа презумпции невиновности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закрепленного в ст</w:t>
      </w:r>
      <w:r w:rsidRPr="00A179BE">
        <w:rPr>
          <w:rFonts w:ascii="Times New Roman" w:hAnsi="Times New Roman"/>
        </w:rPr>
        <w:t xml:space="preserve">. 14 </w:t>
      </w:r>
      <w:r w:rsidRPr="00A179BE">
        <w:rPr>
          <w:rFonts w:ascii="Times New Roman" w:hAnsi="Times New Roman"/>
        </w:rPr>
        <w:t>УПК РФ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Кроме того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подобный подход спо</w:t>
      </w:r>
      <w:r w:rsidRPr="00A179BE">
        <w:rPr>
          <w:rFonts w:ascii="Times New Roman" w:hAnsi="Times New Roman"/>
        </w:rPr>
        <w:t>собствует формированию у следователя так называемого «туннельного зрения»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при котором он сосредотачивается исключительно на одной версии и игнорирует обстоятельства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способные поставить под сомнение виновность подозреваемого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В результате следователь начи</w:t>
      </w:r>
      <w:r w:rsidRPr="00A179BE">
        <w:rPr>
          <w:rFonts w:ascii="Times New Roman" w:hAnsi="Times New Roman"/>
        </w:rPr>
        <w:t>нает воспринимать доказательства избирательно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уделяя внимание лишь тем сведениям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которые подтверждают ранее сформулированную гипотезу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Между тем наличие заявленного алиби требует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напротив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проверки альтернативной версии и исключения вероятности судебной</w:t>
      </w:r>
      <w:r w:rsidRPr="00A179BE">
        <w:rPr>
          <w:rFonts w:ascii="Times New Roman" w:hAnsi="Times New Roman"/>
        </w:rPr>
        <w:t xml:space="preserve"> ошибки</w:t>
      </w:r>
      <w:r w:rsidRPr="00A179BE">
        <w:rPr>
          <w:rFonts w:ascii="Times New Roman" w:hAnsi="Times New Roman"/>
        </w:rPr>
        <w:t>.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>Истинное</w:t>
      </w:r>
      <w:r w:rsidRPr="00A179BE">
        <w:rPr>
          <w:rFonts w:ascii="Times New Roman" w:hAnsi="Times New Roman"/>
        </w:rPr>
        <w:t xml:space="preserve"> алиби представляет собой реально существующее обстоятельство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подтверждающее нахождение лица в ином месте в момент совершения преступления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Ложное алиби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напротив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 xml:space="preserve">создается искусственно и используется подозреваемым либо иными лицами в целях </w:t>
      </w:r>
      <w:r w:rsidRPr="00A179BE">
        <w:rPr>
          <w:rFonts w:ascii="Times New Roman" w:hAnsi="Times New Roman"/>
        </w:rPr>
        <w:t>противодействия расследованию</w:t>
      </w:r>
      <w:r w:rsidRPr="00A179BE">
        <w:rPr>
          <w:rFonts w:ascii="Times New Roman" w:hAnsi="Times New Roman"/>
        </w:rPr>
        <w:t xml:space="preserve">. 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hAnsi="Times New Roman"/>
        </w:rPr>
      </w:pPr>
      <w:r w:rsidRPr="00A179BE">
        <w:rPr>
          <w:rFonts w:ascii="Times New Roman" w:hAnsi="Times New Roman"/>
        </w:rPr>
        <w:t xml:space="preserve">Особое внимание следует уделить </w:t>
      </w:r>
      <w:r w:rsidRPr="00A179BE">
        <w:rPr>
          <w:rFonts w:ascii="Times New Roman" w:hAnsi="Times New Roman"/>
        </w:rPr>
        <w:t>ложному алиби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рассматривая его как одну из наиболее распространенных форм противодействия расследованию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Ложное алиби может выражаться</w:t>
      </w:r>
      <w:r w:rsidRPr="00A179BE">
        <w:rPr>
          <w:rFonts w:ascii="Times New Roman" w:hAnsi="Times New Roman"/>
        </w:rPr>
        <w:t>: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в представлении заведомо ложных показаний</w:t>
      </w:r>
      <w:r w:rsidRPr="00A179BE">
        <w:rPr>
          <w:rFonts w:ascii="Times New Roman" w:hAnsi="Times New Roman"/>
        </w:rPr>
        <w:t>;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в при</w:t>
      </w:r>
      <w:r w:rsidRPr="00A179BE">
        <w:rPr>
          <w:rFonts w:ascii="Times New Roman" w:hAnsi="Times New Roman"/>
        </w:rPr>
        <w:t>влечении свидетелей</w:t>
      </w:r>
      <w:r w:rsidRPr="00A179BE">
        <w:rPr>
          <w:rFonts w:ascii="Times New Roman" w:hAnsi="Times New Roman"/>
        </w:rPr>
        <w:t>;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в изготовлении фиктивных документов</w:t>
      </w:r>
      <w:r w:rsidRPr="00A179BE">
        <w:rPr>
          <w:rFonts w:ascii="Times New Roman" w:hAnsi="Times New Roman"/>
        </w:rPr>
        <w:t>;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в инсценировке событий</w:t>
      </w:r>
      <w:r w:rsidR="00A179BE" w:rsidRPr="00A179BE">
        <w:rPr>
          <w:rFonts w:ascii="Times New Roman" w:hAnsi="Times New Roman"/>
        </w:rPr>
        <w:t xml:space="preserve"> [</w:t>
      </w:r>
      <w:r w:rsidR="004F5BB4">
        <w:rPr>
          <w:rFonts w:ascii="Times New Roman" w:hAnsi="Times New Roman"/>
        </w:rPr>
        <w:t>1</w:t>
      </w:r>
      <w:r w:rsidR="00A179BE" w:rsidRPr="00A179BE">
        <w:rPr>
          <w:rFonts w:ascii="Times New Roman" w:hAnsi="Times New Roman"/>
        </w:rPr>
        <w:t>]</w:t>
      </w:r>
      <w:r w:rsidRPr="00A179BE">
        <w:rPr>
          <w:rFonts w:ascii="Times New Roman" w:hAnsi="Times New Roman"/>
        </w:rPr>
        <w:t>.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hAnsi="Times New Roman"/>
        </w:rPr>
      </w:pPr>
      <w:r w:rsidRPr="00A179BE">
        <w:rPr>
          <w:rFonts w:ascii="Times New Roman" w:hAnsi="Times New Roman"/>
        </w:rPr>
        <w:t>Анализируя способы проверки алиби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выделяют как традиционные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так и современные методы</w:t>
      </w:r>
      <w:r w:rsidRPr="00A179BE">
        <w:rPr>
          <w:rFonts w:ascii="Times New Roman" w:hAnsi="Times New Roman"/>
        </w:rPr>
        <w:t xml:space="preserve">. </w:t>
      </w:r>
      <w:proofErr w:type="gramStart"/>
      <w:r w:rsidRPr="00A179BE">
        <w:rPr>
          <w:rFonts w:ascii="Times New Roman" w:hAnsi="Times New Roman"/>
        </w:rPr>
        <w:t>К числу традиционных относятся</w:t>
      </w:r>
      <w:r w:rsidRPr="00A179BE">
        <w:rPr>
          <w:rFonts w:ascii="Times New Roman" w:hAnsi="Times New Roman"/>
        </w:rPr>
        <w:t>: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допрос подозреваемого и свидетелей</w:t>
      </w:r>
      <w:r w:rsidRPr="00A179BE">
        <w:rPr>
          <w:rFonts w:ascii="Times New Roman" w:hAnsi="Times New Roman"/>
        </w:rPr>
        <w:t>;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очная ставка</w:t>
      </w:r>
      <w:r w:rsidRPr="00A179BE">
        <w:rPr>
          <w:rFonts w:ascii="Times New Roman" w:hAnsi="Times New Roman"/>
        </w:rPr>
        <w:t>;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сопо</w:t>
      </w:r>
      <w:r w:rsidRPr="00A179BE">
        <w:rPr>
          <w:rFonts w:ascii="Times New Roman" w:hAnsi="Times New Roman"/>
        </w:rPr>
        <w:t>ставление показаний</w:t>
      </w:r>
      <w:r w:rsidRPr="00A179BE">
        <w:rPr>
          <w:rFonts w:ascii="Times New Roman" w:hAnsi="Times New Roman"/>
        </w:rPr>
        <w:t>;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изучение документов</w:t>
      </w:r>
      <w:r w:rsidRPr="00A179BE">
        <w:rPr>
          <w:rFonts w:ascii="Times New Roman" w:hAnsi="Times New Roman"/>
        </w:rPr>
        <w:t>;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назначение судебных экспертиз</w:t>
      </w:r>
      <w:r w:rsidRPr="00A179BE">
        <w:rPr>
          <w:rFonts w:ascii="Times New Roman" w:hAnsi="Times New Roman"/>
        </w:rPr>
        <w:t>.</w:t>
      </w:r>
      <w:proofErr w:type="gramEnd"/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hAnsi="Times New Roman"/>
        </w:rPr>
      </w:pPr>
      <w:r w:rsidRPr="00A179BE">
        <w:rPr>
          <w:rFonts w:ascii="Times New Roman" w:hAnsi="Times New Roman"/>
        </w:rPr>
        <w:t>Также следует обратить внимание на необходимость учета цифровой трансформации уголовного судопроизводства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В современных условиях проверка алиби уже не может ограничиваться только доп</w:t>
      </w:r>
      <w:r w:rsidRPr="00A179BE">
        <w:rPr>
          <w:rFonts w:ascii="Times New Roman" w:hAnsi="Times New Roman"/>
        </w:rPr>
        <w:t>росом и письменными доказательствами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 xml:space="preserve">Все большее значение </w:t>
      </w:r>
      <w:r w:rsidRPr="00A179BE">
        <w:rPr>
          <w:rFonts w:ascii="Times New Roman" w:hAnsi="Times New Roman"/>
        </w:rPr>
        <w:lastRenderedPageBreak/>
        <w:t>приобретают цифровые следы</w:t>
      </w:r>
      <w:r w:rsidRPr="00A179BE">
        <w:rPr>
          <w:rFonts w:ascii="Times New Roman" w:hAnsi="Times New Roman"/>
        </w:rPr>
        <w:t>: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 xml:space="preserve">сведения о </w:t>
      </w:r>
      <w:proofErr w:type="spellStart"/>
      <w:r w:rsidRPr="00A179BE">
        <w:rPr>
          <w:rFonts w:ascii="Times New Roman" w:hAnsi="Times New Roman"/>
        </w:rPr>
        <w:t>геолокации</w:t>
      </w:r>
      <w:proofErr w:type="spellEnd"/>
      <w:r w:rsidRPr="00A179BE">
        <w:rPr>
          <w:rFonts w:ascii="Times New Roman" w:hAnsi="Times New Roman"/>
        </w:rPr>
        <w:t>;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данные мобильной связи</w:t>
      </w:r>
      <w:r w:rsidRPr="00A179BE">
        <w:rPr>
          <w:rFonts w:ascii="Times New Roman" w:hAnsi="Times New Roman"/>
        </w:rPr>
        <w:t>;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записи камер видеонаблюдения</w:t>
      </w:r>
      <w:r w:rsidRPr="00A179BE">
        <w:rPr>
          <w:rFonts w:ascii="Times New Roman" w:hAnsi="Times New Roman"/>
        </w:rPr>
        <w:t>;</w:t>
      </w:r>
      <w:r w:rsidR="00A179BE" w:rsidRPr="00A179BE">
        <w:rPr>
          <w:rFonts w:ascii="Times New Roman" w:hAnsi="Times New Roman"/>
        </w:rPr>
        <w:t xml:space="preserve"> </w:t>
      </w:r>
      <w:r w:rsidRPr="00A179BE">
        <w:rPr>
          <w:rFonts w:ascii="Times New Roman" w:hAnsi="Times New Roman"/>
        </w:rPr>
        <w:t>информация из электронных устройств</w:t>
      </w:r>
      <w:r w:rsidRPr="00A179BE">
        <w:rPr>
          <w:rFonts w:ascii="Times New Roman" w:hAnsi="Times New Roman"/>
        </w:rPr>
        <w:t>.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>Следовательно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следователь должен обладать навыками раб</w:t>
      </w:r>
      <w:r w:rsidRPr="00A179BE">
        <w:rPr>
          <w:rFonts w:ascii="Times New Roman" w:hAnsi="Times New Roman"/>
        </w:rPr>
        <w:t>оты с цифровой информацией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поскольку именно она зачастую позволяет наиболее точно установить местонахождение лица в определенный момент времени</w:t>
      </w:r>
      <w:r w:rsidRPr="00A179BE">
        <w:rPr>
          <w:rFonts w:ascii="Times New Roman" w:hAnsi="Times New Roman"/>
        </w:rPr>
        <w:t>.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>Алиби выступает важ</w:t>
      </w:r>
      <w:r w:rsidRPr="00A179BE">
        <w:rPr>
          <w:rFonts w:ascii="Times New Roman" w:hAnsi="Times New Roman"/>
        </w:rPr>
        <w:t>ным средством доказывания</w:t>
      </w:r>
      <w:r w:rsidRPr="00A179BE">
        <w:rPr>
          <w:rFonts w:ascii="Times New Roman" w:hAnsi="Times New Roman"/>
        </w:rPr>
        <w:t xml:space="preserve">: </w:t>
      </w:r>
      <w:r w:rsidRPr="00A179BE">
        <w:rPr>
          <w:rFonts w:ascii="Times New Roman" w:hAnsi="Times New Roman"/>
        </w:rPr>
        <w:t>его подтверждение позволяет исключить причастность лица к преступлению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тогда как ложное алиби нередко используется как способ уклонения от ответственности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При этом оно может выдвигаться не только подозреваемым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но и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например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мнимым «потерпевшим» с целью сокрытия мошеннических действий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в том числе в сфере страхования</w:t>
      </w:r>
      <w:r w:rsidRPr="00A179BE">
        <w:rPr>
          <w:rFonts w:ascii="Times New Roman" w:hAnsi="Times New Roman"/>
        </w:rPr>
        <w:t>.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>Проверка алиби является частью процесса доказывания и может осуществляться как путем подтверждения его истинности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так и опровержения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Опровержение достигается ч</w:t>
      </w:r>
      <w:r w:rsidRPr="00A179BE">
        <w:rPr>
          <w:rFonts w:ascii="Times New Roman" w:hAnsi="Times New Roman"/>
        </w:rPr>
        <w:t>ерез выявление противоречий в показаниях и несоответствий между установленными обстоятельствами дела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На практике ключевую роль играют допросы подозреваемых и свидетелей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а также их последующая проверка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например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в ходе очных ставок</w:t>
      </w:r>
      <w:r w:rsidRPr="00A179BE">
        <w:rPr>
          <w:rFonts w:ascii="Times New Roman" w:hAnsi="Times New Roman"/>
        </w:rPr>
        <w:t>.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>Среди тактических при</w:t>
      </w:r>
      <w:r w:rsidRPr="00A179BE">
        <w:rPr>
          <w:rFonts w:ascii="Times New Roman" w:hAnsi="Times New Roman"/>
        </w:rPr>
        <w:t>емов разоблачения ложного алиби выделяются детализация показаний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предъявление доказательств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разъяснение их значения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создание у допрашиваемого представления о достаточности доказательственной базы и убеждение в бесперспективности ложной позиции</w:t>
      </w:r>
      <w:r w:rsidRPr="00A179BE">
        <w:rPr>
          <w:rFonts w:ascii="Times New Roman" w:hAnsi="Times New Roman"/>
        </w:rPr>
        <w:t>.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>Подтверж</w:t>
      </w:r>
      <w:r w:rsidRPr="00A179BE">
        <w:rPr>
          <w:rFonts w:ascii="Times New Roman" w:hAnsi="Times New Roman"/>
        </w:rPr>
        <w:t>дение алиби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напротив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основывается на объективных данных</w:t>
      </w:r>
      <w:r w:rsidRPr="00A179BE">
        <w:rPr>
          <w:rFonts w:ascii="Times New Roman" w:hAnsi="Times New Roman"/>
        </w:rPr>
        <w:t xml:space="preserve">: </w:t>
      </w:r>
      <w:r w:rsidRPr="00A179BE">
        <w:rPr>
          <w:rFonts w:ascii="Times New Roman" w:hAnsi="Times New Roman"/>
        </w:rPr>
        <w:t>официальных документах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сведениях о местонахождении лица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а также результатах судебных экспертиз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Последние играют важную роль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 xml:space="preserve">поскольку </w:t>
      </w:r>
      <w:proofErr w:type="gramStart"/>
      <w:r w:rsidRPr="00A179BE">
        <w:rPr>
          <w:rFonts w:ascii="Times New Roman" w:hAnsi="Times New Roman"/>
        </w:rPr>
        <w:t>позволяют</w:t>
      </w:r>
      <w:proofErr w:type="gramEnd"/>
      <w:r w:rsidRPr="00A179BE">
        <w:rPr>
          <w:rFonts w:ascii="Times New Roman" w:hAnsi="Times New Roman"/>
        </w:rPr>
        <w:t xml:space="preserve"> как подтвердить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так и опровергнуть алиби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устран</w:t>
      </w:r>
      <w:r w:rsidRPr="00A179BE">
        <w:rPr>
          <w:rFonts w:ascii="Times New Roman" w:hAnsi="Times New Roman"/>
        </w:rPr>
        <w:t>яя сомнения в процессе доказывания</w:t>
      </w:r>
      <w:r w:rsidRPr="00A179BE">
        <w:rPr>
          <w:rFonts w:ascii="Times New Roman" w:hAnsi="Times New Roman"/>
        </w:rPr>
        <w:t>.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 xml:space="preserve">В условиях </w:t>
      </w:r>
      <w:proofErr w:type="spellStart"/>
      <w:r w:rsidRPr="00A179BE">
        <w:rPr>
          <w:rFonts w:ascii="Times New Roman" w:hAnsi="Times New Roman"/>
        </w:rPr>
        <w:t>цифровизации</w:t>
      </w:r>
      <w:proofErr w:type="spellEnd"/>
      <w:r w:rsidRPr="00A179BE">
        <w:rPr>
          <w:rFonts w:ascii="Times New Roman" w:hAnsi="Times New Roman"/>
        </w:rPr>
        <w:t xml:space="preserve"> особую значимость приобретает анализ цифровых следов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позволяющих точно установить местоположение и действия лица в определенный момент времени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Это требует от следователя новых профессиональных н</w:t>
      </w:r>
      <w:r w:rsidRPr="00A179BE">
        <w:rPr>
          <w:rFonts w:ascii="Times New Roman" w:hAnsi="Times New Roman"/>
        </w:rPr>
        <w:t>авыков наряду с традиционными методами расследования</w:t>
      </w:r>
      <w:r w:rsidRPr="00A179BE">
        <w:rPr>
          <w:rFonts w:ascii="Times New Roman" w:hAnsi="Times New Roman"/>
        </w:rPr>
        <w:t>.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>Представляется обоснованным включение алиби в перечень обстоятельств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подлежащих доказыванию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закрепленный в уголовно</w:t>
      </w:r>
      <w:r w:rsidRPr="00A179BE">
        <w:rPr>
          <w:rFonts w:ascii="Times New Roman" w:hAnsi="Times New Roman"/>
        </w:rPr>
        <w:t>-</w:t>
      </w:r>
      <w:r w:rsidRPr="00A179BE">
        <w:rPr>
          <w:rFonts w:ascii="Times New Roman" w:hAnsi="Times New Roman"/>
        </w:rPr>
        <w:t>процессуальном законодательстве</w:t>
      </w:r>
      <w:r w:rsidR="004F5BB4">
        <w:rPr>
          <w:rFonts w:ascii="Times New Roman" w:hAnsi="Times New Roman"/>
        </w:rPr>
        <w:t xml:space="preserve"> </w:t>
      </w:r>
      <w:r w:rsidR="004F5BB4" w:rsidRPr="00A179BE">
        <w:rPr>
          <w:rFonts w:ascii="Times New Roman" w:hAnsi="Times New Roman"/>
        </w:rPr>
        <w:t>[2]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Это повысит системность правового регулирования и у</w:t>
      </w:r>
      <w:r w:rsidRPr="00A179BE">
        <w:rPr>
          <w:rFonts w:ascii="Times New Roman" w:hAnsi="Times New Roman"/>
        </w:rPr>
        <w:t>силит гарантии прав участников процесса</w:t>
      </w:r>
      <w:r w:rsidRPr="00A179BE">
        <w:rPr>
          <w:rFonts w:ascii="Times New Roman" w:hAnsi="Times New Roman"/>
        </w:rPr>
        <w:t>.</w:t>
      </w: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>Таким образом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алиби в контексте поисково</w:t>
      </w:r>
      <w:r w:rsidRPr="00A179BE">
        <w:rPr>
          <w:rFonts w:ascii="Times New Roman" w:hAnsi="Times New Roman"/>
        </w:rPr>
        <w:t>-</w:t>
      </w:r>
      <w:r w:rsidRPr="00A179BE">
        <w:rPr>
          <w:rFonts w:ascii="Times New Roman" w:hAnsi="Times New Roman"/>
        </w:rPr>
        <w:t>познавательной деятельности следователя представляет собой сложное правовое и криминалистическое явление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 xml:space="preserve">значение которого выходит за пределы простого оправдательного </w:t>
      </w:r>
      <w:r w:rsidRPr="00A179BE">
        <w:rPr>
          <w:rFonts w:ascii="Times New Roman" w:hAnsi="Times New Roman"/>
        </w:rPr>
        <w:t>обстоятельства и должно рассматриваться самостоятельно</w:t>
      </w:r>
      <w:r w:rsidRPr="00A179BE">
        <w:rPr>
          <w:rFonts w:ascii="Times New Roman" w:hAnsi="Times New Roman"/>
        </w:rPr>
        <w:t xml:space="preserve">. </w:t>
      </w:r>
      <w:r w:rsidRPr="00A179BE">
        <w:rPr>
          <w:rFonts w:ascii="Times New Roman" w:hAnsi="Times New Roman"/>
        </w:rPr>
        <w:t>Данный подход позволяет устранить существующую правовую неопределенность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повысить объективность расследования и усилить гарантии реализации принципа презумпции невиновности</w:t>
      </w:r>
      <w:r w:rsidRPr="00A179BE">
        <w:rPr>
          <w:rFonts w:ascii="Times New Roman" w:hAnsi="Times New Roman"/>
        </w:rPr>
        <w:t>.</w:t>
      </w:r>
      <w:r w:rsidRPr="00A179BE">
        <w:rPr>
          <w:rFonts w:ascii="Times New Roman" w:hAnsi="Times New Roman"/>
        </w:rPr>
        <w:t xml:space="preserve"> А правильное понимание </w:t>
      </w:r>
      <w:r w:rsidRPr="00A179BE">
        <w:rPr>
          <w:rFonts w:ascii="Times New Roman" w:hAnsi="Times New Roman"/>
        </w:rPr>
        <w:t>алиби в структуре поисково</w:t>
      </w:r>
      <w:r w:rsidRPr="00A179BE">
        <w:rPr>
          <w:rFonts w:ascii="Times New Roman" w:hAnsi="Times New Roman"/>
        </w:rPr>
        <w:t>-</w:t>
      </w:r>
      <w:r w:rsidRPr="00A179BE">
        <w:rPr>
          <w:rFonts w:ascii="Times New Roman" w:hAnsi="Times New Roman"/>
        </w:rPr>
        <w:t xml:space="preserve">познавательной деятельности имеет </w:t>
      </w:r>
      <w:proofErr w:type="gramStart"/>
      <w:r w:rsidRPr="00A179BE">
        <w:rPr>
          <w:rFonts w:ascii="Times New Roman" w:hAnsi="Times New Roman"/>
        </w:rPr>
        <w:t>важное значение</w:t>
      </w:r>
      <w:proofErr w:type="gramEnd"/>
      <w:r w:rsidRPr="00A179BE">
        <w:rPr>
          <w:rFonts w:ascii="Times New Roman" w:hAnsi="Times New Roman"/>
        </w:rPr>
        <w:t xml:space="preserve">: </w:t>
      </w:r>
      <w:r w:rsidRPr="00A179BE">
        <w:rPr>
          <w:rFonts w:ascii="Times New Roman" w:hAnsi="Times New Roman"/>
        </w:rPr>
        <w:t>оно способствует логической организации процесса доказывания</w:t>
      </w:r>
      <w:r w:rsidRPr="00A179BE">
        <w:rPr>
          <w:rFonts w:ascii="Times New Roman" w:hAnsi="Times New Roman"/>
        </w:rPr>
        <w:t xml:space="preserve">, </w:t>
      </w:r>
      <w:r w:rsidRPr="00A179BE">
        <w:rPr>
          <w:rFonts w:ascii="Times New Roman" w:hAnsi="Times New Roman"/>
        </w:rPr>
        <w:t>повышает качество анализа доказательств и эффективность расследования в целом</w:t>
      </w:r>
      <w:r w:rsidRPr="00A179BE">
        <w:rPr>
          <w:rFonts w:ascii="Times New Roman" w:hAnsi="Times New Roman"/>
        </w:rPr>
        <w:t>.</w:t>
      </w:r>
    </w:p>
    <w:p w:rsidR="00681A6E" w:rsidRPr="00A179BE" w:rsidRDefault="00681A6E" w:rsidP="00A179BE">
      <w:pPr>
        <w:pStyle w:val="A7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81A6E" w:rsidRPr="00A179BE" w:rsidRDefault="004F0DC0" w:rsidP="00A179BE">
      <w:pPr>
        <w:pStyle w:val="A7"/>
        <w:suppressAutoHyphens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A179BE">
        <w:rPr>
          <w:rFonts w:ascii="Times New Roman" w:hAnsi="Times New Roman"/>
        </w:rPr>
        <w:t>Список литературы</w:t>
      </w:r>
      <w:r w:rsidRPr="00A179BE">
        <w:rPr>
          <w:rFonts w:ascii="Times New Roman" w:hAnsi="Times New Roman"/>
        </w:rPr>
        <w:t>:</w:t>
      </w:r>
    </w:p>
    <w:p w:rsidR="00A179BE" w:rsidRPr="00A179BE" w:rsidRDefault="00A179BE" w:rsidP="00A179BE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79BE">
        <w:rPr>
          <w:rFonts w:ascii="Times New Roman" w:hAnsi="Times New Roman" w:cs="Times New Roman"/>
          <w:sz w:val="24"/>
          <w:szCs w:val="24"/>
        </w:rPr>
        <w:t xml:space="preserve">Уголовно-процессуальный кодекс Российской Федерации: </w:t>
      </w:r>
      <w:proofErr w:type="spellStart"/>
      <w:r w:rsidRPr="00A179BE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A179BE">
        <w:rPr>
          <w:rFonts w:ascii="Times New Roman" w:hAnsi="Times New Roman" w:cs="Times New Roman"/>
          <w:sz w:val="24"/>
          <w:szCs w:val="24"/>
        </w:rPr>
        <w:t>. закон от 18.12.2001 № 174-ФЗ (ред. от 20.02.2026) // Собрание законодательства Российской Федерации.  2001.  №52 (</w:t>
      </w:r>
      <w:proofErr w:type="spellStart"/>
      <w:r w:rsidRPr="00A179BE">
        <w:rPr>
          <w:rFonts w:ascii="Times New Roman" w:hAnsi="Times New Roman" w:cs="Times New Roman"/>
          <w:sz w:val="24"/>
          <w:szCs w:val="24"/>
        </w:rPr>
        <w:t>ч.I</w:t>
      </w:r>
      <w:proofErr w:type="spellEnd"/>
      <w:r w:rsidRPr="00A179BE">
        <w:rPr>
          <w:rFonts w:ascii="Times New Roman" w:hAnsi="Times New Roman" w:cs="Times New Roman"/>
          <w:sz w:val="24"/>
          <w:szCs w:val="24"/>
        </w:rPr>
        <w:t>). Ст. 4921.</w:t>
      </w:r>
    </w:p>
    <w:p w:rsidR="00681A6E" w:rsidRPr="00A179BE" w:rsidRDefault="004F0DC0" w:rsidP="00A179BE">
      <w:pPr>
        <w:pStyle w:val="A7"/>
        <w:numPr>
          <w:ilvl w:val="0"/>
          <w:numId w:val="6"/>
        </w:numPr>
        <w:suppressAutoHyphens/>
        <w:spacing w:before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A179BE">
        <w:rPr>
          <w:rFonts w:ascii="Times New Roman" w:hAnsi="Times New Roman" w:cs="Times New Roman"/>
        </w:rPr>
        <w:t>Галузо</w:t>
      </w:r>
      <w:proofErr w:type="spellEnd"/>
      <w:r w:rsidR="0075773F" w:rsidRPr="00A179BE">
        <w:rPr>
          <w:rFonts w:ascii="Times New Roman" w:hAnsi="Times New Roman" w:cs="Times New Roman"/>
        </w:rPr>
        <w:t xml:space="preserve"> В.Н.</w:t>
      </w:r>
      <w:r w:rsidRPr="00A179BE">
        <w:rPr>
          <w:rFonts w:ascii="Times New Roman" w:hAnsi="Times New Roman" w:cs="Times New Roman"/>
        </w:rPr>
        <w:t xml:space="preserve">, </w:t>
      </w:r>
      <w:proofErr w:type="spellStart"/>
      <w:r w:rsidRPr="00A179BE">
        <w:rPr>
          <w:rFonts w:ascii="Times New Roman" w:hAnsi="Times New Roman" w:cs="Times New Roman"/>
        </w:rPr>
        <w:t>Канафин</w:t>
      </w:r>
      <w:proofErr w:type="spellEnd"/>
      <w:r w:rsidRPr="00A179BE">
        <w:rPr>
          <w:rFonts w:ascii="Times New Roman" w:hAnsi="Times New Roman" w:cs="Times New Roman"/>
        </w:rPr>
        <w:t xml:space="preserve"> </w:t>
      </w:r>
      <w:r w:rsidR="0075773F" w:rsidRPr="00A179BE">
        <w:rPr>
          <w:rFonts w:ascii="Times New Roman" w:hAnsi="Times New Roman" w:cs="Times New Roman"/>
        </w:rPr>
        <w:t xml:space="preserve">Н.А. </w:t>
      </w:r>
      <w:r w:rsidRPr="00A179BE">
        <w:rPr>
          <w:rFonts w:ascii="Times New Roman" w:hAnsi="Times New Roman" w:cs="Times New Roman"/>
        </w:rPr>
        <w:t>Об алиби как о доказательстве или обстоятельстве</w:t>
      </w:r>
      <w:r w:rsidRPr="00A179BE">
        <w:rPr>
          <w:rFonts w:ascii="Times New Roman" w:hAnsi="Times New Roman" w:cs="Times New Roman"/>
        </w:rPr>
        <w:t xml:space="preserve">, </w:t>
      </w:r>
      <w:r w:rsidRPr="00A179BE">
        <w:rPr>
          <w:rFonts w:ascii="Times New Roman" w:hAnsi="Times New Roman" w:cs="Times New Roman"/>
        </w:rPr>
        <w:t>подлежащем доказыванию</w:t>
      </w:r>
      <w:r w:rsidRPr="00A179BE">
        <w:rPr>
          <w:rFonts w:ascii="Times New Roman" w:hAnsi="Times New Roman" w:cs="Times New Roman"/>
        </w:rPr>
        <w:t xml:space="preserve">, </w:t>
      </w:r>
      <w:r w:rsidRPr="00A179BE">
        <w:rPr>
          <w:rFonts w:ascii="Times New Roman" w:hAnsi="Times New Roman" w:cs="Times New Roman"/>
        </w:rPr>
        <w:t xml:space="preserve">в уголовном процессе Российской Федерации </w:t>
      </w:r>
      <w:r w:rsidRPr="00A179BE">
        <w:rPr>
          <w:rFonts w:ascii="Times New Roman" w:hAnsi="Times New Roman" w:cs="Times New Roman"/>
        </w:rPr>
        <w:t xml:space="preserve">// </w:t>
      </w:r>
      <w:r w:rsidRPr="00A179BE">
        <w:rPr>
          <w:rFonts w:ascii="Times New Roman" w:hAnsi="Times New Roman" w:cs="Times New Roman"/>
        </w:rPr>
        <w:t>Право и государство</w:t>
      </w:r>
      <w:r w:rsidRPr="00A179BE">
        <w:rPr>
          <w:rFonts w:ascii="Times New Roman" w:hAnsi="Times New Roman" w:cs="Times New Roman"/>
        </w:rPr>
        <w:t xml:space="preserve">: </w:t>
      </w:r>
      <w:r w:rsidRPr="00A179BE">
        <w:rPr>
          <w:rFonts w:ascii="Times New Roman" w:hAnsi="Times New Roman" w:cs="Times New Roman"/>
        </w:rPr>
        <w:t>теория и практика</w:t>
      </w:r>
      <w:r w:rsidRPr="00A179BE">
        <w:rPr>
          <w:rFonts w:ascii="Times New Roman" w:hAnsi="Times New Roman" w:cs="Times New Roman"/>
        </w:rPr>
        <w:t xml:space="preserve">. </w:t>
      </w:r>
      <w:r w:rsidRPr="00A179BE">
        <w:rPr>
          <w:rFonts w:ascii="Times New Roman" w:hAnsi="Times New Roman" w:cs="Times New Roman"/>
        </w:rPr>
        <w:t xml:space="preserve">2022. </w:t>
      </w:r>
      <w:r w:rsidRPr="00A179BE">
        <w:rPr>
          <w:rFonts w:ascii="Times New Roman" w:hAnsi="Times New Roman" w:cs="Times New Roman"/>
        </w:rPr>
        <w:t>№</w:t>
      </w:r>
      <w:r w:rsidRPr="00A179BE">
        <w:rPr>
          <w:rFonts w:ascii="Times New Roman" w:hAnsi="Times New Roman" w:cs="Times New Roman"/>
        </w:rPr>
        <w:t xml:space="preserve"> 12. </w:t>
      </w:r>
      <w:r w:rsidRPr="00A179BE">
        <w:rPr>
          <w:rFonts w:ascii="Times New Roman" w:hAnsi="Times New Roman" w:cs="Times New Roman"/>
        </w:rPr>
        <w:t>С</w:t>
      </w:r>
      <w:r w:rsidRPr="00A179BE">
        <w:rPr>
          <w:rFonts w:ascii="Times New Roman" w:hAnsi="Times New Roman" w:cs="Times New Roman"/>
        </w:rPr>
        <w:t>. 286</w:t>
      </w:r>
      <w:r w:rsidRPr="00A179BE">
        <w:rPr>
          <w:rFonts w:ascii="Times New Roman" w:hAnsi="Times New Roman" w:cs="Times New Roman"/>
        </w:rPr>
        <w:t>-</w:t>
      </w:r>
      <w:r w:rsidRPr="00A179BE">
        <w:rPr>
          <w:rFonts w:ascii="Times New Roman" w:hAnsi="Times New Roman" w:cs="Times New Roman"/>
        </w:rPr>
        <w:t xml:space="preserve">289. </w:t>
      </w:r>
      <w:r w:rsidRPr="00A179BE">
        <w:rPr>
          <w:rFonts w:ascii="Times New Roman" w:hAnsi="Times New Roman" w:cs="Times New Roman"/>
          <w:lang w:val="en-US"/>
        </w:rPr>
        <w:t>URL</w:t>
      </w:r>
      <w:r w:rsidRPr="00A179BE">
        <w:rPr>
          <w:rFonts w:ascii="Times New Roman" w:hAnsi="Times New Roman" w:cs="Times New Roman"/>
        </w:rPr>
        <w:t xml:space="preserve">: </w:t>
      </w:r>
      <w:hyperlink r:id="rId7" w:history="1">
        <w:r w:rsidRPr="00A179BE">
          <w:rPr>
            <w:rStyle w:val="Hyperlink0"/>
            <w:rFonts w:ascii="Times New Roman" w:hAnsi="Times New Roman" w:cs="Times New Roman"/>
          </w:rPr>
          <w:t>https://cyberleninka.ru/article/n/ob-alibi-kak-o-dok</w:t>
        </w:r>
        <w:r w:rsidRPr="00A179BE">
          <w:rPr>
            <w:rStyle w:val="Hyperlink0"/>
            <w:rFonts w:ascii="Times New Roman" w:hAnsi="Times New Roman" w:cs="Times New Roman"/>
          </w:rPr>
          <w:t>azatelstve-ili-obstoyatelstve-podlezhaschem-dokazyvaniyu-v-ugolovnom-protsesse-rossiyskoy-federatsii?ysclid=mnoderu7aq441363727</w:t>
        </w:r>
      </w:hyperlink>
      <w:r w:rsidRPr="00A179BE">
        <w:rPr>
          <w:rFonts w:ascii="Times New Roman" w:hAnsi="Times New Roman" w:cs="Times New Roman"/>
        </w:rPr>
        <w:t xml:space="preserve"> (</w:t>
      </w:r>
      <w:r w:rsidRPr="00A179BE">
        <w:rPr>
          <w:rFonts w:ascii="Times New Roman" w:hAnsi="Times New Roman" w:cs="Times New Roman"/>
        </w:rPr>
        <w:t>дата обращения</w:t>
      </w:r>
      <w:r w:rsidRPr="00A179BE">
        <w:rPr>
          <w:rFonts w:ascii="Times New Roman" w:hAnsi="Times New Roman" w:cs="Times New Roman"/>
        </w:rPr>
        <w:t xml:space="preserve">: 03.04.2026). </w:t>
      </w:r>
    </w:p>
    <w:p w:rsidR="00681A6E" w:rsidRPr="00A179BE" w:rsidRDefault="004F0DC0" w:rsidP="00A179BE">
      <w:pPr>
        <w:pStyle w:val="A7"/>
        <w:numPr>
          <w:ilvl w:val="0"/>
          <w:numId w:val="6"/>
        </w:numPr>
        <w:suppressAutoHyphens/>
        <w:spacing w:before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179BE">
        <w:rPr>
          <w:rFonts w:ascii="Times New Roman" w:hAnsi="Times New Roman" w:cs="Times New Roman"/>
        </w:rPr>
        <w:lastRenderedPageBreak/>
        <w:t>Сафронова</w:t>
      </w:r>
      <w:r w:rsidR="0075773F" w:rsidRPr="00A179BE">
        <w:rPr>
          <w:rFonts w:ascii="Times New Roman" w:hAnsi="Times New Roman" w:cs="Times New Roman"/>
        </w:rPr>
        <w:t xml:space="preserve"> Е.В.</w:t>
      </w:r>
      <w:r w:rsidRPr="00A179BE">
        <w:rPr>
          <w:rFonts w:ascii="Times New Roman" w:hAnsi="Times New Roman" w:cs="Times New Roman"/>
        </w:rPr>
        <w:t xml:space="preserve">, </w:t>
      </w:r>
      <w:r w:rsidRPr="00A179BE">
        <w:rPr>
          <w:rFonts w:ascii="Times New Roman" w:hAnsi="Times New Roman" w:cs="Times New Roman"/>
        </w:rPr>
        <w:t xml:space="preserve">Туркина </w:t>
      </w:r>
      <w:r w:rsidR="0075773F" w:rsidRPr="00A179BE">
        <w:rPr>
          <w:rFonts w:ascii="Times New Roman" w:hAnsi="Times New Roman" w:cs="Times New Roman"/>
        </w:rPr>
        <w:t xml:space="preserve">Д.А. </w:t>
      </w:r>
      <w:r w:rsidRPr="00A179BE">
        <w:rPr>
          <w:rFonts w:ascii="Times New Roman" w:hAnsi="Times New Roman" w:cs="Times New Roman"/>
        </w:rPr>
        <w:t>Тактика проверки и разоблачения ложного</w:t>
      </w:r>
      <w:r w:rsidRPr="00A179BE">
        <w:rPr>
          <w:rFonts w:ascii="Times New Roman" w:hAnsi="Times New Roman" w:cs="Times New Roman"/>
        </w:rPr>
        <w:t xml:space="preserve"> алиби </w:t>
      </w:r>
      <w:r w:rsidRPr="00A179BE">
        <w:rPr>
          <w:rFonts w:ascii="Times New Roman" w:hAnsi="Times New Roman" w:cs="Times New Roman"/>
        </w:rPr>
        <w:t xml:space="preserve">// </w:t>
      </w:r>
      <w:r w:rsidRPr="00A179BE">
        <w:rPr>
          <w:rFonts w:ascii="Times New Roman" w:hAnsi="Times New Roman" w:cs="Times New Roman"/>
        </w:rPr>
        <w:t>Вопросы российской юстиции</w:t>
      </w:r>
      <w:r w:rsidRPr="00A179BE">
        <w:rPr>
          <w:rFonts w:ascii="Times New Roman" w:hAnsi="Times New Roman" w:cs="Times New Roman"/>
        </w:rPr>
        <w:t xml:space="preserve">. </w:t>
      </w:r>
      <w:r w:rsidRPr="00A179BE">
        <w:rPr>
          <w:rFonts w:ascii="Times New Roman" w:hAnsi="Times New Roman" w:cs="Times New Roman"/>
        </w:rPr>
        <w:t xml:space="preserve">2023. </w:t>
      </w:r>
      <w:r w:rsidRPr="00A179BE">
        <w:rPr>
          <w:rFonts w:ascii="Times New Roman" w:hAnsi="Times New Roman" w:cs="Times New Roman"/>
        </w:rPr>
        <w:t>№</w:t>
      </w:r>
      <w:r w:rsidRPr="00A179BE">
        <w:rPr>
          <w:rFonts w:ascii="Times New Roman" w:hAnsi="Times New Roman" w:cs="Times New Roman"/>
        </w:rPr>
        <w:t xml:space="preserve"> 27. </w:t>
      </w:r>
      <w:r w:rsidRPr="00A179BE">
        <w:rPr>
          <w:rFonts w:ascii="Times New Roman" w:hAnsi="Times New Roman" w:cs="Times New Roman"/>
        </w:rPr>
        <w:t>С</w:t>
      </w:r>
      <w:r w:rsidRPr="00A179BE">
        <w:rPr>
          <w:rFonts w:ascii="Times New Roman" w:hAnsi="Times New Roman" w:cs="Times New Roman"/>
        </w:rPr>
        <w:t>. 472</w:t>
      </w:r>
      <w:r w:rsidR="004F5BB4">
        <w:rPr>
          <w:rFonts w:ascii="Times New Roman" w:hAnsi="Times New Roman" w:cs="Times New Roman"/>
        </w:rPr>
        <w:t>-</w:t>
      </w:r>
      <w:r w:rsidRPr="00A179BE">
        <w:rPr>
          <w:rFonts w:ascii="Times New Roman" w:hAnsi="Times New Roman" w:cs="Times New Roman"/>
        </w:rPr>
        <w:t xml:space="preserve">477. </w:t>
      </w:r>
      <w:r w:rsidRPr="00A179BE">
        <w:rPr>
          <w:rFonts w:ascii="Times New Roman" w:hAnsi="Times New Roman" w:cs="Times New Roman"/>
          <w:lang w:val="en-US"/>
        </w:rPr>
        <w:t>URL</w:t>
      </w:r>
      <w:r w:rsidRPr="00A179BE">
        <w:rPr>
          <w:rFonts w:ascii="Times New Roman" w:hAnsi="Times New Roman" w:cs="Times New Roman"/>
        </w:rPr>
        <w:t xml:space="preserve">: </w:t>
      </w:r>
      <w:hyperlink r:id="rId8" w:history="1">
        <w:r w:rsidRPr="00A179BE">
          <w:rPr>
            <w:rStyle w:val="Hyperlink0"/>
            <w:rFonts w:ascii="Times New Roman" w:hAnsi="Times New Roman" w:cs="Times New Roman"/>
          </w:rPr>
          <w:t>https://cyberleninka.ru/</w:t>
        </w:r>
        <w:r w:rsidRPr="00A179BE">
          <w:rPr>
            <w:rStyle w:val="Hyperlink0"/>
            <w:rFonts w:ascii="Times New Roman" w:hAnsi="Times New Roman" w:cs="Times New Roman"/>
          </w:rPr>
          <w:t>a</w:t>
        </w:r>
        <w:r w:rsidRPr="00A179BE">
          <w:rPr>
            <w:rStyle w:val="Hyperlink0"/>
            <w:rFonts w:ascii="Times New Roman" w:hAnsi="Times New Roman" w:cs="Times New Roman"/>
          </w:rPr>
          <w:t>rticle/n/taktika-proverki-i-razobl</w:t>
        </w:r>
        <w:r w:rsidRPr="00A179BE">
          <w:rPr>
            <w:rStyle w:val="Hyperlink0"/>
            <w:rFonts w:ascii="Times New Roman" w:hAnsi="Times New Roman" w:cs="Times New Roman"/>
          </w:rPr>
          <w:t>acheniya-lozhnogo-alibi?ysclid=mnodh058qc571000707</w:t>
        </w:r>
      </w:hyperlink>
      <w:r w:rsidRPr="00A179BE">
        <w:rPr>
          <w:rFonts w:ascii="Times New Roman" w:hAnsi="Times New Roman" w:cs="Times New Roman"/>
        </w:rPr>
        <w:t xml:space="preserve"> (</w:t>
      </w:r>
      <w:r w:rsidRPr="00A179BE">
        <w:rPr>
          <w:rFonts w:ascii="Times New Roman" w:hAnsi="Times New Roman" w:cs="Times New Roman"/>
        </w:rPr>
        <w:t>дата обращения</w:t>
      </w:r>
      <w:r w:rsidRPr="00A179BE">
        <w:rPr>
          <w:rFonts w:ascii="Times New Roman" w:hAnsi="Times New Roman" w:cs="Times New Roman"/>
        </w:rPr>
        <w:t>: 03.04.2026).</w:t>
      </w:r>
    </w:p>
    <w:p w:rsidR="00681A6E" w:rsidRDefault="00681A6E" w:rsidP="0075773F">
      <w:pPr>
        <w:pStyle w:val="A7"/>
        <w:tabs>
          <w:tab w:val="left" w:pos="961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681A6E" w:rsidRDefault="00681A6E" w:rsidP="0075773F">
      <w:pPr>
        <w:pStyle w:val="A7"/>
        <w:tabs>
          <w:tab w:val="left" w:pos="961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681A6E" w:rsidRDefault="00681A6E">
      <w:pPr>
        <w:pStyle w:val="A7"/>
        <w:tabs>
          <w:tab w:val="left" w:pos="961"/>
        </w:tabs>
        <w:suppressAutoHyphens/>
        <w:spacing w:before="0" w:line="240" w:lineRule="auto"/>
        <w:ind w:firstLine="709"/>
        <w:jc w:val="both"/>
        <w:rPr>
          <w:rFonts w:hint="eastAsia"/>
        </w:rPr>
      </w:pPr>
    </w:p>
    <w:sectPr w:rsidR="00681A6E" w:rsidSect="00681A6E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DC0" w:rsidRDefault="004F0DC0" w:rsidP="00681A6E">
      <w:r>
        <w:separator/>
      </w:r>
    </w:p>
  </w:endnote>
  <w:endnote w:type="continuationSeparator" w:id="0">
    <w:p w:rsidR="004F0DC0" w:rsidRDefault="004F0DC0" w:rsidP="00681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6E" w:rsidRDefault="00681A6E">
    <w:pPr>
      <w:pStyle w:val="a6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DC0" w:rsidRDefault="004F0DC0" w:rsidP="00681A6E">
      <w:r>
        <w:separator/>
      </w:r>
    </w:p>
  </w:footnote>
  <w:footnote w:type="continuationSeparator" w:id="0">
    <w:p w:rsidR="004F0DC0" w:rsidRDefault="004F0DC0" w:rsidP="00681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6E" w:rsidRDefault="00681A6E">
    <w:pPr>
      <w:pStyle w:val="a6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E6C46"/>
    <w:multiLevelType w:val="hybridMultilevel"/>
    <w:tmpl w:val="24C60F9A"/>
    <w:numStyleLink w:val="a"/>
  </w:abstractNum>
  <w:abstractNum w:abstractNumId="1">
    <w:nsid w:val="20337F82"/>
    <w:multiLevelType w:val="hybridMultilevel"/>
    <w:tmpl w:val="F95CFE30"/>
    <w:styleLink w:val="0"/>
    <w:lvl w:ilvl="0" w:tplc="27B26248">
      <w:start w:val="1"/>
      <w:numFmt w:val="decimal"/>
      <w:lvlText w:val="%1."/>
      <w:lvlJc w:val="left"/>
      <w:pPr>
        <w:tabs>
          <w:tab w:val="num" w:pos="961"/>
        </w:tabs>
        <w:ind w:left="252" w:firstLine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25ABE">
      <w:start w:val="1"/>
      <w:numFmt w:val="decimal"/>
      <w:lvlText w:val="%2."/>
      <w:lvlJc w:val="left"/>
      <w:pPr>
        <w:tabs>
          <w:tab w:val="left" w:pos="961"/>
          <w:tab w:val="num" w:pos="1509"/>
        </w:tabs>
        <w:ind w:left="800" w:firstLine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CA8D60">
      <w:start w:val="1"/>
      <w:numFmt w:val="decimal"/>
      <w:lvlText w:val="%3."/>
      <w:lvlJc w:val="left"/>
      <w:pPr>
        <w:tabs>
          <w:tab w:val="left" w:pos="961"/>
          <w:tab w:val="num" w:pos="2309"/>
        </w:tabs>
        <w:ind w:left="1600" w:firstLine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42D70">
      <w:start w:val="1"/>
      <w:numFmt w:val="decimal"/>
      <w:lvlText w:val="%4."/>
      <w:lvlJc w:val="left"/>
      <w:pPr>
        <w:tabs>
          <w:tab w:val="left" w:pos="961"/>
          <w:tab w:val="num" w:pos="3109"/>
        </w:tabs>
        <w:ind w:left="2400" w:firstLine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702C4A">
      <w:start w:val="1"/>
      <w:numFmt w:val="decimal"/>
      <w:lvlText w:val="%5."/>
      <w:lvlJc w:val="left"/>
      <w:pPr>
        <w:tabs>
          <w:tab w:val="left" w:pos="961"/>
          <w:tab w:val="num" w:pos="3909"/>
        </w:tabs>
        <w:ind w:left="3200" w:firstLine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E80388">
      <w:start w:val="1"/>
      <w:numFmt w:val="decimal"/>
      <w:lvlText w:val="%6."/>
      <w:lvlJc w:val="left"/>
      <w:pPr>
        <w:tabs>
          <w:tab w:val="left" w:pos="961"/>
          <w:tab w:val="num" w:pos="4709"/>
        </w:tabs>
        <w:ind w:left="4000" w:firstLine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0AD8FA">
      <w:start w:val="1"/>
      <w:numFmt w:val="decimal"/>
      <w:lvlText w:val="%7."/>
      <w:lvlJc w:val="left"/>
      <w:pPr>
        <w:tabs>
          <w:tab w:val="left" w:pos="961"/>
          <w:tab w:val="num" w:pos="5509"/>
        </w:tabs>
        <w:ind w:left="4800" w:firstLine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05C1C">
      <w:start w:val="1"/>
      <w:numFmt w:val="decimal"/>
      <w:lvlText w:val="%8."/>
      <w:lvlJc w:val="left"/>
      <w:pPr>
        <w:tabs>
          <w:tab w:val="left" w:pos="961"/>
          <w:tab w:val="num" w:pos="6309"/>
        </w:tabs>
        <w:ind w:left="5600" w:firstLine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073C">
      <w:start w:val="1"/>
      <w:numFmt w:val="decimal"/>
      <w:lvlText w:val="%9."/>
      <w:lvlJc w:val="left"/>
      <w:pPr>
        <w:tabs>
          <w:tab w:val="left" w:pos="961"/>
          <w:tab w:val="num" w:pos="7109"/>
        </w:tabs>
        <w:ind w:left="6400" w:firstLine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6AF39B5"/>
    <w:multiLevelType w:val="hybridMultilevel"/>
    <w:tmpl w:val="215297FE"/>
    <w:styleLink w:val="a0"/>
    <w:lvl w:ilvl="0" w:tplc="66ECC404">
      <w:start w:val="1"/>
      <w:numFmt w:val="decimal"/>
      <w:lvlText w:val="%1."/>
      <w:lvlJc w:val="left"/>
      <w:pPr>
        <w:tabs>
          <w:tab w:val="num" w:pos="962"/>
        </w:tabs>
        <w:ind w:left="2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D8BC84">
      <w:start w:val="1"/>
      <w:numFmt w:val="decimal"/>
      <w:lvlText w:val="%2."/>
      <w:lvlJc w:val="left"/>
      <w:pPr>
        <w:tabs>
          <w:tab w:val="num" w:pos="1762"/>
        </w:tabs>
        <w:ind w:left="10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346A58">
      <w:start w:val="1"/>
      <w:numFmt w:val="decimal"/>
      <w:lvlText w:val="%3."/>
      <w:lvlJc w:val="left"/>
      <w:pPr>
        <w:tabs>
          <w:tab w:val="num" w:pos="2562"/>
        </w:tabs>
        <w:ind w:left="18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108EC4">
      <w:start w:val="1"/>
      <w:numFmt w:val="decimal"/>
      <w:lvlText w:val="%4."/>
      <w:lvlJc w:val="left"/>
      <w:pPr>
        <w:tabs>
          <w:tab w:val="num" w:pos="3362"/>
        </w:tabs>
        <w:ind w:left="26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2C3160">
      <w:start w:val="1"/>
      <w:numFmt w:val="decimal"/>
      <w:lvlText w:val="%5."/>
      <w:lvlJc w:val="left"/>
      <w:pPr>
        <w:tabs>
          <w:tab w:val="num" w:pos="4162"/>
        </w:tabs>
        <w:ind w:left="34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E6C1A">
      <w:start w:val="1"/>
      <w:numFmt w:val="decimal"/>
      <w:lvlText w:val="%6."/>
      <w:lvlJc w:val="left"/>
      <w:pPr>
        <w:tabs>
          <w:tab w:val="num" w:pos="4962"/>
        </w:tabs>
        <w:ind w:left="42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1A985E">
      <w:start w:val="1"/>
      <w:numFmt w:val="decimal"/>
      <w:lvlText w:val="%7."/>
      <w:lvlJc w:val="left"/>
      <w:pPr>
        <w:tabs>
          <w:tab w:val="num" w:pos="5762"/>
        </w:tabs>
        <w:ind w:left="50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EDFC2">
      <w:start w:val="1"/>
      <w:numFmt w:val="decimal"/>
      <w:lvlText w:val="%8."/>
      <w:lvlJc w:val="left"/>
      <w:pPr>
        <w:tabs>
          <w:tab w:val="num" w:pos="6562"/>
        </w:tabs>
        <w:ind w:left="58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8A30A">
      <w:start w:val="1"/>
      <w:numFmt w:val="decimal"/>
      <w:lvlText w:val="%9."/>
      <w:lvlJc w:val="left"/>
      <w:pPr>
        <w:tabs>
          <w:tab w:val="num" w:pos="7362"/>
        </w:tabs>
        <w:ind w:left="66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E8428B9"/>
    <w:multiLevelType w:val="hybridMultilevel"/>
    <w:tmpl w:val="215297FE"/>
    <w:numStyleLink w:val="a0"/>
  </w:abstractNum>
  <w:abstractNum w:abstractNumId="4">
    <w:nsid w:val="3E823944"/>
    <w:multiLevelType w:val="hybridMultilevel"/>
    <w:tmpl w:val="24C60F9A"/>
    <w:styleLink w:val="a"/>
    <w:lvl w:ilvl="0" w:tplc="C826E0DE">
      <w:start w:val="1"/>
      <w:numFmt w:val="bullet"/>
      <w:lvlText w:val="-"/>
      <w:lvlJc w:val="left"/>
      <w:pPr>
        <w:tabs>
          <w:tab w:val="num" w:pos="971"/>
        </w:tabs>
        <w:ind w:left="262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33245C7A">
      <w:start w:val="1"/>
      <w:numFmt w:val="bullet"/>
      <w:lvlText w:val="-"/>
      <w:lvlJc w:val="left"/>
      <w:pPr>
        <w:tabs>
          <w:tab w:val="num" w:pos="1211"/>
        </w:tabs>
        <w:ind w:left="502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41EEA53E">
      <w:start w:val="1"/>
      <w:numFmt w:val="bullet"/>
      <w:lvlText w:val="-"/>
      <w:lvlJc w:val="left"/>
      <w:pPr>
        <w:tabs>
          <w:tab w:val="num" w:pos="1451"/>
        </w:tabs>
        <w:ind w:left="742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A8FC5138">
      <w:start w:val="1"/>
      <w:numFmt w:val="bullet"/>
      <w:lvlText w:val="-"/>
      <w:lvlJc w:val="left"/>
      <w:pPr>
        <w:tabs>
          <w:tab w:val="num" w:pos="1691"/>
        </w:tabs>
        <w:ind w:left="982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579C9548">
      <w:start w:val="1"/>
      <w:numFmt w:val="bullet"/>
      <w:lvlText w:val="-"/>
      <w:lvlJc w:val="left"/>
      <w:pPr>
        <w:tabs>
          <w:tab w:val="num" w:pos="1931"/>
        </w:tabs>
        <w:ind w:left="1222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85DCC006">
      <w:start w:val="1"/>
      <w:numFmt w:val="bullet"/>
      <w:lvlText w:val="-"/>
      <w:lvlJc w:val="left"/>
      <w:pPr>
        <w:tabs>
          <w:tab w:val="num" w:pos="2171"/>
        </w:tabs>
        <w:ind w:left="1462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59A0BFB0">
      <w:start w:val="1"/>
      <w:numFmt w:val="bullet"/>
      <w:lvlText w:val="-"/>
      <w:lvlJc w:val="left"/>
      <w:pPr>
        <w:tabs>
          <w:tab w:val="num" w:pos="2411"/>
        </w:tabs>
        <w:ind w:left="1702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5D109DAA">
      <w:start w:val="1"/>
      <w:numFmt w:val="bullet"/>
      <w:lvlText w:val="-"/>
      <w:lvlJc w:val="left"/>
      <w:pPr>
        <w:tabs>
          <w:tab w:val="num" w:pos="2651"/>
        </w:tabs>
        <w:ind w:left="1942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8E243C0">
      <w:start w:val="1"/>
      <w:numFmt w:val="bullet"/>
      <w:lvlText w:val="-"/>
      <w:lvlJc w:val="left"/>
      <w:pPr>
        <w:tabs>
          <w:tab w:val="num" w:pos="2891"/>
        </w:tabs>
        <w:ind w:left="2182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5">
    <w:nsid w:val="42E21204"/>
    <w:multiLevelType w:val="hybridMultilevel"/>
    <w:tmpl w:val="A5BEF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A2BA4"/>
    <w:multiLevelType w:val="hybridMultilevel"/>
    <w:tmpl w:val="F95CFE30"/>
    <w:numStyleLink w:val="0"/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1A6E"/>
    <w:rsid w:val="004F0DC0"/>
    <w:rsid w:val="004F5BB4"/>
    <w:rsid w:val="00681A6E"/>
    <w:rsid w:val="00712FAC"/>
    <w:rsid w:val="0075773F"/>
    <w:rsid w:val="00A1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681A6E"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681A6E"/>
    <w:rPr>
      <w:u w:val="single"/>
    </w:rPr>
  </w:style>
  <w:style w:type="table" w:customStyle="1" w:styleId="TableNormal">
    <w:name w:val="Table Normal"/>
    <w:rsid w:val="00681A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rsid w:val="00681A6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7">
    <w:name w:val="По умолчанию A"/>
    <w:rsid w:val="00681A6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numbering" w:customStyle="1" w:styleId="a0">
    <w:name w:val="С числами"/>
    <w:rsid w:val="00681A6E"/>
    <w:pPr>
      <w:numPr>
        <w:numId w:val="1"/>
      </w:numPr>
    </w:pPr>
  </w:style>
  <w:style w:type="numbering" w:customStyle="1" w:styleId="a">
    <w:name w:val="Тире"/>
    <w:rsid w:val="00681A6E"/>
    <w:pPr>
      <w:numPr>
        <w:numId w:val="3"/>
      </w:numPr>
    </w:pPr>
  </w:style>
  <w:style w:type="numbering" w:customStyle="1" w:styleId="0">
    <w:name w:val="С числами.0"/>
    <w:rsid w:val="00681A6E"/>
    <w:pPr>
      <w:numPr>
        <w:numId w:val="5"/>
      </w:numPr>
    </w:pPr>
  </w:style>
  <w:style w:type="character" w:customStyle="1" w:styleId="Hyperlink0">
    <w:name w:val="Hyperlink.0"/>
    <w:basedOn w:val="a5"/>
    <w:rsid w:val="00681A6E"/>
    <w:rPr>
      <w:outline w:val="0"/>
      <w:color w:val="0000FF"/>
      <w:u w:val="single" w:color="0000FF"/>
    </w:rPr>
  </w:style>
  <w:style w:type="paragraph" w:styleId="a8">
    <w:name w:val="List Paragraph"/>
    <w:basedOn w:val="a1"/>
    <w:uiPriority w:val="34"/>
    <w:qFormat/>
    <w:rsid w:val="00A17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taktika-proverki-i-razoblacheniya-lozhnogo-alibi?ysclid=mnodh058qc5710007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ob-alibi-kak-o-dokazatelstve-ili-obstoyatelstve-podlezhaschem-dokazyvaniyu-v-ugolovnom-protsesse-rossiyskoy-federatsii?ysclid=mnoderu7aq4413637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2026-04-07T11:35:00Z</dcterms:created>
  <dcterms:modified xsi:type="dcterms:W3CDTF">2026-04-07T12:30:00Z</dcterms:modified>
</cp:coreProperties>
</file>