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C402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БИОЛОГИЧЕСКОЕ ВЛИЯНИЕ НИТРАТОВ И N-НИТРОСОЕДИНЕНИЙ НА ЗДОРОВЬЕ ЧЕЛОВЕКА</w:t>
      </w:r>
    </w:p>
    <w:p w14:paraId="7C992C31">
      <w:pPr>
        <w:jc w:val="right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Шестопалова Диана Игоревна</w:t>
      </w:r>
    </w:p>
    <w:p w14:paraId="45EDC951">
      <w:pPr>
        <w:jc w:val="right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Научный руководитель: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.н.,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доцент</w:t>
      </w:r>
    </w:p>
    <w:p w14:paraId="52A9F441">
      <w:pPr>
        <w:jc w:val="right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Очерет Надежда Петровна</w:t>
      </w:r>
    </w:p>
    <w:p w14:paraId="0DC73345">
      <w:pPr>
        <w:jc w:val="right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14:paraId="416D938F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Актуальность. </w:t>
      </w:r>
      <w:r>
        <w:rPr>
          <w:rFonts w:hint="default" w:ascii="Times New Roman" w:hAnsi="Times New Roman" w:cs="Times New Roman"/>
          <w:sz w:val="24"/>
          <w:szCs w:val="24"/>
        </w:rPr>
        <w:t>Проблема загрязнения окружающей среды соединениями азота, в частности нитратами и продуктами их метаболизма, остается одной из актуальных в современной экологии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химии</w:t>
      </w:r>
      <w:r>
        <w:rPr>
          <w:rFonts w:hint="default" w:ascii="Times New Roman" w:hAnsi="Times New Roman" w:cs="Times New Roman"/>
          <w:sz w:val="24"/>
          <w:szCs w:val="24"/>
        </w:rPr>
        <w:t xml:space="preserve">. Нитраты широко применяются в сельском хозяйстве в качестве минеральных удобрений, что приводит к их накоплению в почве, воде и продуктах питания растительного происхождения. Попадая в организм человека в повышенных количествах, нитраты могут восстанавливаться до нитритов, а затем взаимодействовать с аминами и амидами, образуя N-нитросоединения, многие из которых обладают выраженными токсическими и канцерогенными свойствами. </w:t>
      </w:r>
    </w:p>
    <w:p w14:paraId="34674E3B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Целью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исследования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является анализ источников поступления, метаболических путей и механизмов биологического воздействия нитратов и N-нитросоединений на организм человека для оценки потенциальных рисков здоровь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119EDD5A"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достижения цели были поставлены следующие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задачи: </w:t>
      </w:r>
    </w:p>
    <w:p w14:paraId="7B712D88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зучить основные пути поступления нитратов в организм; </w:t>
      </w:r>
    </w:p>
    <w:p w14:paraId="16C6F46E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 xml:space="preserve">ассмотреть биохимические превращения нитратов в нитриты и N-нитросоединения; </w:t>
      </w:r>
    </w:p>
    <w:p w14:paraId="2206AA76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роанализировать механизмы токсического действия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данных</w:t>
      </w:r>
      <w:r>
        <w:rPr>
          <w:rFonts w:hint="default" w:ascii="Times New Roman" w:hAnsi="Times New Roman" w:cs="Times New Roman"/>
          <w:sz w:val="24"/>
          <w:szCs w:val="24"/>
        </w:rPr>
        <w:t xml:space="preserve"> соединений; </w:t>
      </w:r>
    </w:p>
    <w:p w14:paraId="6EBBF7E1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Изучит</w:t>
      </w:r>
      <w:r>
        <w:rPr>
          <w:rFonts w:hint="default" w:ascii="Times New Roman" w:hAnsi="Times New Roman" w:cs="Times New Roman"/>
          <w:sz w:val="24"/>
          <w:szCs w:val="24"/>
        </w:rPr>
        <w:t xml:space="preserve"> последствия их воздействия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 здоровье человека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02CB4452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Нитраты (соли азотной кислоты), являясь естественным компонентом метаболизма растений, при избыточном поступлении из удобрений накапливаются в вегетативных органах. Ассимиляция нитратов в растительных тканях осуществляется посредством двухступенчатой ферментативной реакции. Первый этап катализируется нитратредуктазой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ферментом из класса </w:t>
      </w:r>
      <w:r>
        <w:rPr>
          <w:rFonts w:hint="default" w:ascii="Times New Roman" w:hAnsi="Times New Roman" w:cs="Times New Roman"/>
          <w:sz w:val="24"/>
          <w:szCs w:val="24"/>
        </w:rPr>
        <w:t>оксидоредуктаз:</w:t>
      </w:r>
    </w:p>
    <w:p w14:paraId="119919F1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3086100" cy="396240"/>
            <wp:effectExtent l="0" t="0" r="0" b="0"/>
            <wp:docPr id="1" name="Рисунок 1" descr="https://him.1sept.ru/2001/31/no31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him.1sept.ru/2001/31/no31_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7DEF1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4305300" cy="289560"/>
            <wp:effectExtent l="0" t="0" r="7620" b="0"/>
            <wp:docPr id="2" name="Рисунок 2" descr="https://him.1sept.ru/2001/31/no31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him.1sept.ru/2001/31/no31_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-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3AF49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где NAД(Р)H – никотинамидадениндинуклеотидфосфат восстановленный, NAД(Р)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hint="default" w:ascii="Times New Roman" w:hAnsi="Times New Roman" w:cs="Times New Roman"/>
          <w:sz w:val="24"/>
          <w:szCs w:val="24"/>
        </w:rPr>
        <w:t xml:space="preserve"> – никотинамидадениндинуклеотидфосфат окисленный.</w:t>
      </w:r>
    </w:p>
    <w:p w14:paraId="507C98F5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Образующиеся нитриты не накапливаются в тканях, а подвергаются дальнейшему восстановлению до аммиака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под действием нитритредуктазы, активность которой в 5–20 раз превышает активность нитратредуктазы:</w:t>
      </w:r>
    </w:p>
    <w:p w14:paraId="576D392B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4168140" cy="337820"/>
            <wp:effectExtent l="0" t="0" r="7620" b="12700"/>
            <wp:docPr id="3" name="Рисунок 3" descr="https://him.1sept.ru/2001/31/no31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him.1sept.ru/2001/31/no31_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57C76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где ФД – ферредоксин – железосодержащий белок, выполняющий функции переносчика электронов.</w:t>
      </w:r>
    </w:p>
    <w:p w14:paraId="3AA7216A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Для человека основным источником экзогенных нитратов служат продукты питания (до 80% суточного поступления), преимущественно овощные культуры (листовая зелень, корнеплоды), а также питьевая вода [1]. В проксимальных отделах желудочно-кишечного тракта, особенно в условиях пониженной кислотности, под действием микробиоты происходит восстановление нитратов до нитритов [2].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Нитриты,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попадая</w:t>
      </w:r>
      <w:r>
        <w:rPr>
          <w:rFonts w:hint="default" w:ascii="Times New Roman" w:hAnsi="Times New Roman" w:cs="Times New Roman"/>
          <w:sz w:val="24"/>
          <w:szCs w:val="24"/>
        </w:rPr>
        <w:t xml:space="preserve"> в системный кровоток, инициируют окисление двухвалентного железа гемоглобина до трехвалентного с образованием метгемоглобина. Данный процесс реализуется по двум механизмам: </w:t>
      </w:r>
    </w:p>
    <w:p w14:paraId="35EF7EE9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прямом окислении роль окислителя играют нитрит - анионы:</w:t>
      </w:r>
    </w:p>
    <w:p w14:paraId="56D23E31">
      <w:pPr>
        <w:ind w:firstLine="708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3HbFe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2+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 + 2NO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2-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 + 14H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+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 → 3HbFe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3+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 + 2NH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 + 4H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O</w:t>
      </w:r>
    </w:p>
    <w:p w14:paraId="09D5867B"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 время косвенного окисления гемоглобина сначала нитриты окисляются до нитратов с образованием пероксида водорода, затем последний вступает в реакцию с железом гемоглобина: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NO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</w:rPr>
        <w:t>2-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 + О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 + Н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О → NO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</w:rPr>
        <w:t>3-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 + Н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О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,</w:t>
      </w:r>
    </w:p>
    <w:p w14:paraId="10DCC729">
      <w:pPr>
        <w:ind w:left="2124" w:leftChars="0"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HbFe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</w:rPr>
        <w:t>2+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 + 2Н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О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 + 4Н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</w:rPr>
        <w:t>+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 → HbFe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</w:rPr>
        <w:t>3+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+ 4Н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О.</w:t>
      </w:r>
    </w:p>
    <w:p w14:paraId="151C9321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Образующийся метгемоглобин утрачивает способность к обратимому связыванию и транспорту кислорода, что приводит к развитию тканевой гипоксии — метгемоглобинемии. В физиологических условиях содержание метгемоглобина не превышает 2% благодаря активности фермента метгемоглобинредуктазы, однако у детей раннего возраста эта система несовершенна, что обусловливает их особую уязвимость [3].</w:t>
      </w:r>
    </w:p>
    <w:p w14:paraId="5E7CE4AF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Наиболее серьезную угрозу представляет способность нитритов выступать в качестве предшественников в реакциях N-нитрозирования. Взаимодействие азотистой кислоты с вторичными и третичными аминами, поступающими с пищей (рыбные и мясные продукты, некоторые фармацевтические препараты) или образующимися эндогенно, ведет к синтезу N-нитросоединений (НС). Реакция может протекать как в самом желудке в кислой среде, так и в кишечнике под действием бактериальной нитрозаминазы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5C6828C1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N-нитрозосоединения имеют общую структуру: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8B16136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345565" cy="767715"/>
            <wp:effectExtent l="0" t="0" r="0" b="10160"/>
            <wp:docPr id="5" name="Рисунок 4" descr="https://him.1sept.ru/2001/31/no31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s://him.1sept.ru/2001/31/no31_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2000" contrast="-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F06CE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химической структуре N-нитросоединения подразделяются на нитрозамины (алкильные или арильные радикалы) и нитрозамиды (алкил/арил,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ацил). В практике санитарно-гигиенического контроля наиболее часто определяемыми маркерами являются N-нитрозодиметиламин (НДМА) и N-нитрозодиэтиламин (НДЭА). К настоящему времени идентифицировано более 300 N-нитросоединений, при этом около 90% из них продемонстрировали канцерогенную активность в отношении различных видов лабораторных животных [4].</w:t>
      </w:r>
    </w:p>
    <w:p w14:paraId="2DCCB515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Механизм канцерогенеза связан с метаболической активацией нитрозаминов в печени ферментами семейства цитохрома Р-450. Образующиеся электрофильные алкилирующие интермедиаты атакуют нуклеофильные центры ДНК, модифицируя пуриновые и пиримидиновые основания. Подобные повреждения генетического материала при недостаточной эффективности систем репарации ведут к ошибкам репликации и инициируют процесс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мутации</w:t>
      </w:r>
      <w:r>
        <w:rPr>
          <w:rFonts w:hint="default" w:ascii="Times New Roman" w:hAnsi="Times New Roman" w:cs="Times New Roman"/>
          <w:sz w:val="24"/>
          <w:szCs w:val="24"/>
        </w:rPr>
        <w:t xml:space="preserve"> клеток [5]. Помимо канцерогенного, для отдельных представителей НС доказано эмбриотоксическое и тератогенное действие.</w:t>
      </w:r>
    </w:p>
    <w:p w14:paraId="2C40D016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клинической картине интоксикации прослеживается зависимость от пути поступления ксенобиотика. При остром отравлении нитратами с водой симптомы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проявляются</w:t>
      </w:r>
      <w:r>
        <w:rPr>
          <w:rFonts w:hint="default" w:ascii="Times New Roman" w:hAnsi="Times New Roman" w:cs="Times New Roman"/>
          <w:sz w:val="24"/>
          <w:szCs w:val="24"/>
        </w:rPr>
        <w:t xml:space="preserve"> в течение 1–1,5 часов: наблюдаются абдоминальный синдром, рвота, гиперсаливация, цианоз губ и ногтевых пластин. Алиментарный путь интоксикации характеризуется отсроченным (4–6 часов) началом и нередко сопровождается примесью крови в стуле. Общими симптомами являются астения, цефалгия, сомноленция, нарушения зрения; в педиатрической практике доминирует психомоторное возбуждение. Тяжелые формы отравления могут осложняться судорогами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потерей</w:t>
      </w:r>
      <w:r>
        <w:rPr>
          <w:rFonts w:hint="default" w:ascii="Times New Roman" w:hAnsi="Times New Roman" w:cs="Times New Roman"/>
          <w:sz w:val="24"/>
          <w:szCs w:val="24"/>
        </w:rPr>
        <w:t xml:space="preserve"> сознания. В группу повышенного риска входят дети раннего возраста, а также лица пожилого возраста с коморбидной патологией (сердечно-сосудистые заболевания, патология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почек, анемические состояния), у которых даже умеренная метгемоглобинемия способна индуцировать выраженную гипоксию.</w:t>
      </w:r>
    </w:p>
    <w:p w14:paraId="390B3252"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Заключение</w:t>
      </w:r>
    </w:p>
    <w:p w14:paraId="08E973F3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Нитраты и продукты их метаболи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зма</w:t>
      </w:r>
      <w:r>
        <w:rPr>
          <w:rFonts w:hint="default" w:ascii="Times New Roman" w:hAnsi="Times New Roman" w:cs="Times New Roman"/>
          <w:sz w:val="24"/>
          <w:szCs w:val="24"/>
        </w:rPr>
        <w:t xml:space="preserve"> представляют реальную угрозу здоровью населения. Ключевая опасность заключается не в самих нитратах как таковых, а в их способности выступать субстратом для образования токсичных нитритов и канцерогенных N-нитросоединений. Стратегия профилактики негативного воздействия должна носить комплексный характер, включая гигиенический контроль содержания нитратов в продовольственном сырье и воде, оптимизацию агротехнических приемов, соблюдение технологий кулинарной обработки (вымачивание, отваривание), а также обогащение рациона ингибиторами нитрозирования (аскорбиновая кислота, токоферолы). Перспективные направления исследований связаны с изучением индивидуальной чувствительности к действию N-нитросоединений и поиском фармакологических способов блокады их эндогенного синтеза.</w:t>
      </w:r>
    </w:p>
    <w:p w14:paraId="59E86057"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446F271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Покровский В.А. Гигиена питания: учебник. М.: Медицина, 2018. 432 с.</w:t>
      </w:r>
    </w:p>
    <w:p w14:paraId="1917D9A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Журков В.С. Токсикологическая химия. Механизмы действия токсикантов. М.: ГЭОТАР-Медиа, 2020. 256 с.</w:t>
      </w:r>
    </w:p>
    <w:p w14:paraId="3DE0A7C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Онищенко Г.Г., Новиков С.М., Рахманин Ю.А. Основы оценки риска для здоровья населения при воздействии химических веществ, загрязняющих окружающую среду. М.: НИИ ЭЧ и ГОС, 2019. 408 с.</w:t>
      </w:r>
    </w:p>
    <w:p w14:paraId="0BF3E9A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Богданов Н.А., Сидорова К.А. Эндогенный синтез нитрозосоединений и его роль в канцерогенезе // Вопросы онкологии. 2021. Т. 67, № 3. С. 345-351.</w:t>
      </w:r>
    </w:p>
    <w:p w14:paraId="7FE0E40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Иванченко А.В. Метаболизм ксенобиотиков. Биохимические механизмы токсичности. СПб.: СпецЛит, 2022. 187 с.</w:t>
      </w:r>
    </w:p>
    <w:sectPr>
      <w:footerReference r:id="rId3" w:type="default"/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EDF49">
    <w:pPr>
      <w:pStyle w:val="6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0209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DERnejtAgAANgYAAA4AAAAAAAAAAQAgAAAAHw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0209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BD079"/>
    <w:multiLevelType w:val="singleLevel"/>
    <w:tmpl w:val="187BD07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654DF"/>
    <w:rsid w:val="19DA11BE"/>
    <w:rsid w:val="543654DF"/>
    <w:rsid w:val="629C6CBD"/>
    <w:rsid w:val="69F24886"/>
    <w:rsid w:val="7BA3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Normal (Web)"/>
    <w:basedOn w:val="1"/>
    <w:uiPriority w:val="0"/>
    <w:rPr>
      <w:sz w:val="24"/>
      <w:szCs w:val="24"/>
    </w:rPr>
  </w:style>
  <w:style w:type="paragraph" w:customStyle="1" w:styleId="8">
    <w:name w:val="p65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ft8"/>
    <w:basedOn w:val="2"/>
    <w:qFormat/>
    <w:uiPriority w:val="0"/>
  </w:style>
  <w:style w:type="character" w:customStyle="1" w:styleId="10">
    <w:name w:val="ft166"/>
    <w:basedOn w:val="2"/>
    <w:qFormat/>
    <w:uiPriority w:val="0"/>
  </w:style>
  <w:style w:type="paragraph" w:customStyle="1" w:styleId="11">
    <w:name w:val="p65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ft187"/>
    <w:basedOn w:val="2"/>
    <w:qFormat/>
    <w:uiPriority w:val="0"/>
  </w:style>
  <w:style w:type="character" w:customStyle="1" w:styleId="13">
    <w:name w:val="ft226"/>
    <w:basedOn w:val="2"/>
    <w:qFormat/>
    <w:uiPriority w:val="0"/>
  </w:style>
  <w:style w:type="character" w:customStyle="1" w:styleId="14">
    <w:name w:val="ft4"/>
    <w:basedOn w:val="2"/>
    <w:qFormat/>
    <w:uiPriority w:val="0"/>
  </w:style>
  <w:style w:type="paragraph" w:customStyle="1" w:styleId="15">
    <w:name w:val="p65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p65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">
    <w:name w:val="p65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">
    <w:name w:val="p65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ft47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GIF"/><Relationship Id="rId7" Type="http://schemas.openxmlformats.org/officeDocument/2006/relationships/image" Target="media/image3.GIF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2026-03-19T11:02:00Z</dcterms:created>
  <dc:creator>Диана Шестопало�</dc:creator>
  <cp:lastModifiedBy>Диана Шестопало�</cp:lastModifiedBy>
  <dcterms:modified xsi:type="dcterms:W3CDTF">2026-03-19T18:15:14Z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A4BB1E303017433B8FC1152F61965264_11</vt:lpwstr>
  </property>
</Properties>
</file>