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DBE1" w14:textId="625D0AA1" w:rsidR="005F3510" w:rsidRPr="005F3510" w:rsidRDefault="00841B09" w:rsidP="00841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ЭКСПРЕССИВНЫЙ ПОТЕНЦИАЛ АРАБСКОЙ РЕЧИ</w:t>
      </w:r>
    </w:p>
    <w:p w14:paraId="544F339D" w14:textId="43FF8D85" w:rsidR="005F3510" w:rsidRPr="005F3510" w:rsidRDefault="005F3510" w:rsidP="005F3510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F3510">
        <w:rPr>
          <w:rFonts w:ascii="Times New Roman" w:hAnsi="Times New Roman" w:cs="Times New Roman"/>
          <w:i/>
          <w:iCs/>
          <w:sz w:val="24"/>
          <w:szCs w:val="24"/>
        </w:rPr>
        <w:t xml:space="preserve">Бойко П.М.  </w:t>
      </w:r>
    </w:p>
    <w:p w14:paraId="7D7BDE21" w14:textId="77777777" w:rsidR="005F3510" w:rsidRPr="005F3510" w:rsidRDefault="005F3510" w:rsidP="005F3510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F3510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Кодзова З.Н.</w:t>
      </w:r>
    </w:p>
    <w:p w14:paraId="14059EDD" w14:textId="77777777" w:rsidR="005F3510" w:rsidRPr="005F3510" w:rsidRDefault="005F3510" w:rsidP="005F3510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F3510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08DA80B0" w14:textId="77777777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FB067E" w14:textId="2BF704EB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исследования </w:t>
      </w:r>
      <w:r w:rsidRPr="00841B09">
        <w:rPr>
          <w:rFonts w:ascii="Times New Roman" w:hAnsi="Times New Roman" w:cs="Times New Roman"/>
          <w:sz w:val="24"/>
          <w:szCs w:val="24"/>
        </w:rPr>
        <w:t>обоснована тем, что экспрессивность выступает в роли центральной категории, от которой зависит результативность общения, особенно в языках, обладающих развитыми риторическими традициями. Арабский язык, существующий в ситуации диглоссии, даёт обширный материал для анализа того, каким образом на различных ярусах языковой системы создаётся эмоционально-оценочное воздействие. В эпоху глобализации и стремительного развития арабоязычных медиа понимание экспрессивных возможностей языка становится необходимым условием для корректного восприятия политического и художественного дискурса, а также для эффективного обучения арабскому языку как иностранному.</w:t>
      </w:r>
    </w:p>
    <w:p w14:paraId="110E0D1E" w14:textId="425961FE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темы</w:t>
      </w:r>
      <w:r w:rsidRPr="00841B09">
        <w:rPr>
          <w:rFonts w:ascii="Times New Roman" w:hAnsi="Times New Roman" w:cs="Times New Roman"/>
          <w:sz w:val="24"/>
          <w:szCs w:val="24"/>
        </w:rPr>
        <w:t>. Теоретическую основу работы составили исследования отечественных арабистов (Б.Я. Шидфар, В.С. Сегаль), заложивших основы стилистической дифференциации арабского языка [</w:t>
      </w:r>
      <w:r w:rsidR="00596B7A">
        <w:rPr>
          <w:rFonts w:ascii="Times New Roman" w:hAnsi="Times New Roman" w:cs="Times New Roman"/>
          <w:sz w:val="24"/>
          <w:szCs w:val="24"/>
        </w:rPr>
        <w:t>3</w:t>
      </w:r>
      <w:r w:rsidRPr="00841B09">
        <w:rPr>
          <w:rFonts w:ascii="Times New Roman" w:hAnsi="Times New Roman" w:cs="Times New Roman"/>
          <w:sz w:val="24"/>
          <w:szCs w:val="24"/>
        </w:rPr>
        <w:t xml:space="preserve">; </w:t>
      </w:r>
      <w:r w:rsidR="00596B7A">
        <w:rPr>
          <w:rFonts w:ascii="Times New Roman" w:hAnsi="Times New Roman" w:cs="Times New Roman"/>
          <w:sz w:val="24"/>
          <w:szCs w:val="24"/>
        </w:rPr>
        <w:t>4</w:t>
      </w:r>
      <w:r w:rsidRPr="00841B09">
        <w:rPr>
          <w:rFonts w:ascii="Times New Roman" w:hAnsi="Times New Roman" w:cs="Times New Roman"/>
          <w:sz w:val="24"/>
          <w:szCs w:val="24"/>
        </w:rPr>
        <w:t>]. Значимыми для анализа являются классические арабские труды по риторике, особенно работа ‘Абд ал-Кахира ал-Джурджани, предложившего концепцию экспрессивности через категорию назма (строя речи) [</w:t>
      </w:r>
      <w:r w:rsidR="00596B7A">
        <w:rPr>
          <w:rFonts w:ascii="Times New Roman" w:hAnsi="Times New Roman" w:cs="Times New Roman"/>
          <w:sz w:val="24"/>
          <w:szCs w:val="24"/>
        </w:rPr>
        <w:t>1</w:t>
      </w:r>
      <w:r w:rsidRPr="00841B09">
        <w:rPr>
          <w:rFonts w:ascii="Times New Roman" w:hAnsi="Times New Roman" w:cs="Times New Roman"/>
          <w:sz w:val="24"/>
          <w:szCs w:val="24"/>
        </w:rPr>
        <w:t>]. Современные зарубежные учёные (K. Versteegh, M. N. Al-Hamad) уделяют внимание описанию экспрессивных приёмов в разговорных диалектах и интернет-коммуникации [6; 7]. При этом комплексный подход, охватывающий фонетический, лексический и синтаксический уровни экспрессивности применительно к современной арабской речи, разработан в недостаточной мере.</w:t>
      </w:r>
    </w:p>
    <w:p w14:paraId="6319E946" w14:textId="591F21CE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b/>
          <w:bCs/>
          <w:sz w:val="24"/>
          <w:szCs w:val="24"/>
        </w:rPr>
        <w:t>Цель исследования</w:t>
      </w:r>
      <w:r w:rsidRPr="00841B09">
        <w:rPr>
          <w:rFonts w:ascii="Times New Roman" w:hAnsi="Times New Roman" w:cs="Times New Roman"/>
          <w:sz w:val="24"/>
          <w:szCs w:val="24"/>
        </w:rPr>
        <w:t xml:space="preserve"> — обнаружить и упорядочить лексико-семантические средства создания экспрессивности в арабской речи, а также установить их функциональные особенности в разных коммуникативных сферах. В соответствии с этим определены следующие </w:t>
      </w:r>
      <w:r w:rsidRPr="00841B0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417172A" w14:textId="77777777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1. Систематизировать лексико-семантические механизмы усиления экспрессии (синонимия, метафора, оценочная лексика).</w:t>
      </w:r>
    </w:p>
    <w:p w14:paraId="34E0A650" w14:textId="77777777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2. Исследовать взаимовлияние этих уровней в текстах различных жанров (художественная литература, публицистика, разговорная речь).</w:t>
      </w:r>
    </w:p>
    <w:p w14:paraId="589C699C" w14:textId="4783DEFD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3. Привести примеры, демонстрирующие выразительный потенциал арабского языка.</w:t>
      </w:r>
    </w:p>
    <w:p w14:paraId="405A778F" w14:textId="77777777" w:rsid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b/>
          <w:bCs/>
          <w:sz w:val="24"/>
          <w:szCs w:val="24"/>
        </w:rPr>
        <w:t>Методологическая основа</w:t>
      </w:r>
      <w:r w:rsidRPr="00841B09">
        <w:rPr>
          <w:rFonts w:ascii="Times New Roman" w:hAnsi="Times New Roman" w:cs="Times New Roman"/>
          <w:sz w:val="24"/>
          <w:szCs w:val="24"/>
        </w:rPr>
        <w:t xml:space="preserve"> включает метод лингвистического описания, компонентный анализ, элементы интонационного и дискурс-анализа, а также стилистический анализ текстов.</w:t>
      </w:r>
    </w:p>
    <w:p w14:paraId="3E805080" w14:textId="7F7ED912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 xml:space="preserve"> </w:t>
      </w:r>
      <w:r w:rsidRPr="00841B09">
        <w:rPr>
          <w:rFonts w:ascii="Times New Roman" w:hAnsi="Times New Roman" w:cs="Times New Roman"/>
          <w:b/>
          <w:bCs/>
          <w:sz w:val="24"/>
          <w:szCs w:val="24"/>
        </w:rPr>
        <w:t>Материалом</w:t>
      </w:r>
      <w:r w:rsidRPr="00841B09">
        <w:rPr>
          <w:rFonts w:ascii="Times New Roman" w:hAnsi="Times New Roman" w:cs="Times New Roman"/>
          <w:sz w:val="24"/>
          <w:szCs w:val="24"/>
        </w:rPr>
        <w:t xml:space="preserve"> послужили записи устной речи носителей египетского и ливанского диалектов (2020–2025 гг.), тексты современных арабских СМИ (Al Jazeera, Al Arabiya), а также произведения арабской художественной литературы (Нагиб Махфуз, Ханан аш-Шейх).</w:t>
      </w:r>
    </w:p>
    <w:p w14:paraId="328DEC5E" w14:textId="3D0BDB86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B09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</w:t>
      </w:r>
    </w:p>
    <w:p w14:paraId="7F22E5F6" w14:textId="46A83269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1. Лексико-семантические механизмы. Наиболее отчётливо экспрессивность проявляется в синонимических рядах. В арабском языке для обозначения «гнева» существует более 20 единиц, которые различаются по степени интенсивности и условиям употребления: غضب (гнев вообще), حيز (внутреннее кипение), سخط (возмущение с оттенком отвращения), حمي (ярость как природная стихия) [4]. Выбор того или иного слова служит указателем эмоционального состояния говорящего.</w:t>
      </w:r>
    </w:p>
    <w:p w14:paraId="504EADC6" w14:textId="2D1E51C9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Образные средства — метафора и метонимия. В современной арабской поэзии встречается метафорическое выражение كان الحزن يأكلني («горе пожирало меня»). В разговорной речи широко используются метонимические обороты с соматизмами: نعال يا أبوک (букв. «сандалия твоего отца») в египетском диалекте представляет собой грубую экспрессивную формулу, выражающую пренебрежение.</w:t>
      </w:r>
    </w:p>
    <w:p w14:paraId="7F3E4438" w14:textId="2B1ADEAC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2. Взаимодействие уровней в дискурсе. В художественном тексте экспрессивность достигается путём соединения фонетических и лексических приёмов. Так, в романе Нагиба Махфуза «Дети нашего квартала» часто используется парономазия — соположение созвучных, но разных по смыслу слов, порождающее иронический подтекст [5]. Фраза وانتصر الخامر على الحاضر («победило сокрытое над присутствующим») построена на созвучии «скрытое» и «присутствующее».</w:t>
      </w:r>
    </w:p>
    <w:p w14:paraId="39A01293" w14:textId="126AF885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В медийном дискурсе экспрессивность реализуется через включение разговорных диалектных элементов в литературный текст. Пример заголовка новостного сюжета о дороговизне: الأسعار تأكل العيش («цены поедают хлеб»).</w:t>
      </w:r>
    </w:p>
    <w:p w14:paraId="67152A29" w14:textId="77777777" w:rsid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3. Специфика экспрессивности в условиях диглоссии. Литературный язык открывает широкие возможности для «высокой» экспрессии благодаря архаичным риторическим фигурам. Например, в политической речи: إن الحق بيّن والباطل ضيّن («истина очевидна, а ложь ничтожна») — здесь задействованы антитеза и параллелизм.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A1C16" w14:textId="55DF0023" w:rsidR="00841B09" w:rsidRPr="00841B09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Разговорные диалекты отличаются обилием междометных и звукоподражательных экспрессивов: آه (боль/сожаление), أف (отвращение), يا سلام (восхищение/удивление).</w:t>
      </w:r>
    </w:p>
    <w:p w14:paraId="36AC35F7" w14:textId="75A70F3A" w:rsidR="005F3510" w:rsidRPr="005F3510" w:rsidRDefault="00841B09" w:rsidP="00841B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b/>
          <w:bCs/>
          <w:sz w:val="24"/>
          <w:szCs w:val="24"/>
        </w:rPr>
        <w:t>Выводы.</w:t>
      </w:r>
      <w:r w:rsidRPr="00841B09">
        <w:rPr>
          <w:rFonts w:ascii="Times New Roman" w:hAnsi="Times New Roman" w:cs="Times New Roman"/>
          <w:sz w:val="24"/>
          <w:szCs w:val="24"/>
        </w:rPr>
        <w:t xml:space="preserve"> Экспрессивный потенциал арабской речи представляет собой целостную систему, в которой лексические и стилистические средства находятся во взаимодействии, создавая многослойный прагматический эффект. Полученные результаты можно использовать при составлении учебных курсов по стилистике и практике устной арабской речи, а также в лекциях по теоретической грамматике и риторике. Перспектива дальнейшего исследования связана с изучением экспрессивности в цифровой коммуникации.</w:t>
      </w:r>
    </w:p>
    <w:p w14:paraId="51660D0E" w14:textId="77777777" w:rsidR="005F3510" w:rsidRPr="005F3510" w:rsidRDefault="005F3510" w:rsidP="005F351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510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530FB30B" w14:textId="77777777" w:rsidR="005F3510" w:rsidRPr="005F3510" w:rsidRDefault="005F3510" w:rsidP="005F35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510">
        <w:rPr>
          <w:rFonts w:ascii="Times New Roman" w:hAnsi="Times New Roman" w:cs="Times New Roman"/>
          <w:sz w:val="24"/>
          <w:szCs w:val="24"/>
        </w:rPr>
        <w:t>1. Аль-Джурджани, Абд аль-Кахир. Асрар ал-балага (Тайны красноречия) / Пер. с араб. А.А. Долининой. СПб., 2004. 320 с.</w:t>
      </w:r>
    </w:p>
    <w:p w14:paraId="1C54887C" w14:textId="77777777" w:rsidR="005F3510" w:rsidRPr="005F3510" w:rsidRDefault="005F3510" w:rsidP="005F35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510">
        <w:rPr>
          <w:rFonts w:ascii="Times New Roman" w:hAnsi="Times New Roman" w:cs="Times New Roman"/>
          <w:sz w:val="24"/>
          <w:szCs w:val="24"/>
        </w:rPr>
        <w:t>2. Махфуз Н. Авлад харатина (Дети нашего квартала). Бейрут, 2006. 450 с. (на араб. яз.)</w:t>
      </w:r>
    </w:p>
    <w:p w14:paraId="7204CE91" w14:textId="77777777" w:rsidR="005F3510" w:rsidRPr="005F3510" w:rsidRDefault="005F3510" w:rsidP="005F35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510">
        <w:rPr>
          <w:rFonts w:ascii="Times New Roman" w:hAnsi="Times New Roman" w:cs="Times New Roman"/>
          <w:sz w:val="24"/>
          <w:szCs w:val="24"/>
        </w:rPr>
        <w:t>3. Сегаль В.С. Стилистика современного арабского языка. М., 1962. 136 с.</w:t>
      </w:r>
    </w:p>
    <w:p w14:paraId="3D75827E" w14:textId="77777777" w:rsidR="005F3510" w:rsidRPr="005F3510" w:rsidRDefault="005F3510" w:rsidP="005F35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510">
        <w:rPr>
          <w:rFonts w:ascii="Times New Roman" w:hAnsi="Times New Roman" w:cs="Times New Roman"/>
          <w:sz w:val="24"/>
          <w:szCs w:val="24"/>
        </w:rPr>
        <w:t>4. Шидфар Б.Я. Образная система арабской классической литературы (VI–XII вв.). М., 1974. 254 с.</w:t>
      </w:r>
    </w:p>
    <w:p w14:paraId="601BF250" w14:textId="77777777" w:rsidR="005F3510" w:rsidRPr="005F3510" w:rsidRDefault="005F3510" w:rsidP="005F35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3510">
        <w:rPr>
          <w:rFonts w:ascii="Times New Roman" w:hAnsi="Times New Roman" w:cs="Times New Roman"/>
          <w:sz w:val="24"/>
          <w:szCs w:val="24"/>
        </w:rPr>
        <w:t>5. Яковенко Э.В. Экспрессивная лексика в современном арабском языке // Вестник Санкт-Петербургского университета. Серия</w:t>
      </w:r>
      <w:r w:rsidRPr="005F3510">
        <w:rPr>
          <w:rFonts w:ascii="Times New Roman" w:hAnsi="Times New Roman" w:cs="Times New Roman"/>
          <w:sz w:val="24"/>
          <w:szCs w:val="24"/>
          <w:lang w:val="en-US"/>
        </w:rPr>
        <w:t xml:space="preserve"> 13. </w:t>
      </w:r>
      <w:r w:rsidRPr="005F3510">
        <w:rPr>
          <w:rFonts w:ascii="Times New Roman" w:hAnsi="Times New Roman" w:cs="Times New Roman"/>
          <w:sz w:val="24"/>
          <w:szCs w:val="24"/>
        </w:rPr>
        <w:t>Востоковедение</w:t>
      </w:r>
      <w:r w:rsidRPr="005F35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3510">
        <w:rPr>
          <w:rFonts w:ascii="Times New Roman" w:hAnsi="Times New Roman" w:cs="Times New Roman"/>
          <w:sz w:val="24"/>
          <w:szCs w:val="24"/>
        </w:rPr>
        <w:t>Африканистика</w:t>
      </w:r>
      <w:r w:rsidRPr="005F3510">
        <w:rPr>
          <w:rFonts w:ascii="Times New Roman" w:hAnsi="Times New Roman" w:cs="Times New Roman"/>
          <w:sz w:val="24"/>
          <w:szCs w:val="24"/>
          <w:lang w:val="en-US"/>
        </w:rPr>
        <w:t xml:space="preserve">. 2018. </w:t>
      </w:r>
      <w:r w:rsidRPr="005F3510">
        <w:rPr>
          <w:rFonts w:ascii="Times New Roman" w:hAnsi="Times New Roman" w:cs="Times New Roman"/>
          <w:sz w:val="24"/>
          <w:szCs w:val="24"/>
        </w:rPr>
        <w:t>Т</w:t>
      </w:r>
      <w:r w:rsidRPr="005F3510">
        <w:rPr>
          <w:rFonts w:ascii="Times New Roman" w:hAnsi="Times New Roman" w:cs="Times New Roman"/>
          <w:sz w:val="24"/>
          <w:szCs w:val="24"/>
          <w:lang w:val="en-US"/>
        </w:rPr>
        <w:t xml:space="preserve">. 10. № 3. </w:t>
      </w:r>
      <w:r w:rsidRPr="005F3510">
        <w:rPr>
          <w:rFonts w:ascii="Times New Roman" w:hAnsi="Times New Roman" w:cs="Times New Roman"/>
          <w:sz w:val="24"/>
          <w:szCs w:val="24"/>
        </w:rPr>
        <w:t>С</w:t>
      </w:r>
      <w:r w:rsidRPr="005F3510">
        <w:rPr>
          <w:rFonts w:ascii="Times New Roman" w:hAnsi="Times New Roman" w:cs="Times New Roman"/>
          <w:sz w:val="24"/>
          <w:szCs w:val="24"/>
          <w:lang w:val="en-US"/>
        </w:rPr>
        <w:t>. 312–325.</w:t>
      </w:r>
    </w:p>
    <w:p w14:paraId="2B2BDF66" w14:textId="77777777" w:rsidR="005F3510" w:rsidRPr="005F3510" w:rsidRDefault="005F3510" w:rsidP="005F35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3510">
        <w:rPr>
          <w:rFonts w:ascii="Times New Roman" w:hAnsi="Times New Roman" w:cs="Times New Roman"/>
          <w:sz w:val="24"/>
          <w:szCs w:val="24"/>
          <w:lang w:val="en-US"/>
        </w:rPr>
        <w:t>6. Al-Hamad M.N. The Use of Colloquial Arabic in Modern Arabic Literature // Journal of Arabic and Islamic Studies. 2020. Vol. 20. P. 45–61.</w:t>
      </w:r>
    </w:p>
    <w:p w14:paraId="4D261AF4" w14:textId="77777777" w:rsidR="00A05340" w:rsidRPr="005F3510" w:rsidRDefault="005F3510" w:rsidP="005F35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510">
        <w:rPr>
          <w:rFonts w:ascii="Times New Roman" w:hAnsi="Times New Roman" w:cs="Times New Roman"/>
          <w:sz w:val="24"/>
          <w:szCs w:val="24"/>
          <w:lang w:val="en-US"/>
        </w:rPr>
        <w:t>7. Versteegh K. The Arabic Language. Edinburgh, 2014. 410 p.</w:t>
      </w:r>
    </w:p>
    <w:sectPr w:rsidR="00A05340" w:rsidRPr="005F3510" w:rsidSect="005F35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10"/>
    <w:rsid w:val="00234648"/>
    <w:rsid w:val="00365862"/>
    <w:rsid w:val="003D4A8B"/>
    <w:rsid w:val="00596B7A"/>
    <w:rsid w:val="005F3510"/>
    <w:rsid w:val="007234F4"/>
    <w:rsid w:val="00841B09"/>
    <w:rsid w:val="009E3DE6"/>
    <w:rsid w:val="00A05340"/>
    <w:rsid w:val="00F3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8DEE"/>
  <w15:chartTrackingRefBased/>
  <w15:docId w15:val="{38771FD5-A70E-4599-89B0-80EBBA3F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5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5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5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5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5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5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5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5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5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5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3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D9FA-42C3-4C1A-AAC0-AC7093DC23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бойко</dc:creator>
  <cp:keywords/>
  <dc:description/>
  <cp:lastModifiedBy>Полина Бойко</cp:lastModifiedBy>
  <cp:revision>2</cp:revision>
  <dcterms:created xsi:type="dcterms:W3CDTF">2026-04-10T14:22:00Z</dcterms:created>
  <dcterms:modified xsi:type="dcterms:W3CDTF">2026-04-10T14:22:00Z</dcterms:modified>
</cp:coreProperties>
</file>