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03" w:rsidRDefault="003A35FF" w:rsidP="003A35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становления и развития высшего женского образования в Исламской Республике Иран</w:t>
      </w:r>
    </w:p>
    <w:p w:rsidR="003A35FF" w:rsidRDefault="003A35FF" w:rsidP="003A35F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Автор: Денисова София Владимировна</w:t>
      </w:r>
    </w:p>
    <w:p w:rsidR="003A35FF" w:rsidRDefault="003A35FF" w:rsidP="003A35F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Адыгейский Государственный университет, Майкоп</w:t>
      </w:r>
    </w:p>
    <w:p w:rsidR="003A35FF" w:rsidRDefault="003A35FF" w:rsidP="003A35F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Научный руководитель: Бурыкина Людмила Васильевна</w:t>
      </w:r>
    </w:p>
    <w:p w:rsidR="003A35FF" w:rsidRDefault="003A35FF" w:rsidP="003A35F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Кандидат исторических наук, доцент</w:t>
      </w:r>
    </w:p>
    <w:p w:rsidR="003A35FF" w:rsidRDefault="003A35FF" w:rsidP="003A35F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Адыгейский государственный университет</w:t>
      </w:r>
      <w:r w:rsidR="000D3EDC">
        <w:rPr>
          <w:rFonts w:ascii="Times New Roman" w:hAnsi="Times New Roman" w:cs="Times New Roman"/>
          <w:i/>
          <w:sz w:val="24"/>
          <w:szCs w:val="24"/>
        </w:rPr>
        <w:t>, Майкоп</w:t>
      </w:r>
    </w:p>
    <w:p w:rsidR="000D3EDC" w:rsidRPr="000D3EDC" w:rsidRDefault="000D3EDC" w:rsidP="000D3EDC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3EDC">
        <w:rPr>
          <w:rFonts w:ascii="Times New Roman" w:hAnsi="Times New Roman" w:cs="Times New Roman"/>
          <w:iCs/>
          <w:sz w:val="24"/>
          <w:szCs w:val="24"/>
        </w:rPr>
        <w:t>Актуальность темы</w:t>
      </w:r>
      <w:r w:rsidR="00030F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EDC">
        <w:rPr>
          <w:rFonts w:ascii="Times New Roman" w:hAnsi="Times New Roman" w:cs="Times New Roman"/>
          <w:iCs/>
          <w:sz w:val="24"/>
          <w:szCs w:val="24"/>
        </w:rPr>
        <w:t>состоит в том, что с помощью анализа процессов, происходящих в образовательной системе государства, можно предугадать направление, в котором оно будет развиваться во внутренней и внешней политике. Таким образом, изучение иранской системы высшего образования, в том числе, женского, позволит России более эффективно выстраивать диалог с Исламской Республикой Иран.</w:t>
      </w:r>
    </w:p>
    <w:p w:rsidR="00030FA8" w:rsidRPr="000D3EDC" w:rsidRDefault="000D3EDC" w:rsidP="00030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EDC">
        <w:rPr>
          <w:rFonts w:ascii="Times New Roman" w:hAnsi="Times New Roman" w:cs="Times New Roman"/>
          <w:sz w:val="24"/>
          <w:szCs w:val="24"/>
        </w:rPr>
        <w:t xml:space="preserve">Историографический обзор. </w:t>
      </w:r>
    </w:p>
    <w:p w:rsidR="00030FA8" w:rsidRDefault="000D3EDC" w:rsidP="000D3E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EDC">
        <w:rPr>
          <w:rFonts w:ascii="Times New Roman" w:hAnsi="Times New Roman" w:cs="Times New Roman"/>
          <w:sz w:val="24"/>
          <w:szCs w:val="24"/>
        </w:rPr>
        <w:t xml:space="preserve">Е. М. Родионова рассматривает взаимосвязь положения женщин и развития женского образования в Исламской Республике Иран в 1979-1995 гг. </w:t>
      </w:r>
    </w:p>
    <w:p w:rsidR="000D3EDC" w:rsidRPr="000D3EDC" w:rsidRDefault="000D3EDC" w:rsidP="000D3E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EDC">
        <w:rPr>
          <w:rFonts w:ascii="Times New Roman" w:hAnsi="Times New Roman" w:cs="Times New Roman"/>
          <w:sz w:val="24"/>
          <w:szCs w:val="24"/>
        </w:rPr>
        <w:t>К. В. Симонов с соавторами в своем анализе гендерного аспекта в образовательной политике исламских государств уделяет внимание и ситуации в Иране.</w:t>
      </w:r>
    </w:p>
    <w:p w:rsidR="000D3EDC" w:rsidRPr="000D3EDC" w:rsidRDefault="000D3EDC" w:rsidP="000D3E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EDC">
        <w:rPr>
          <w:rFonts w:ascii="Times New Roman" w:hAnsi="Times New Roman" w:cs="Times New Roman"/>
          <w:sz w:val="24"/>
          <w:szCs w:val="24"/>
        </w:rPr>
        <w:t>С. Эсмаили в своей статье также анализирует связь между состоянием женского высшего образования и присутствием женщин в Парламенте Ирана.</w:t>
      </w:r>
    </w:p>
    <w:p w:rsidR="000D3EDC" w:rsidRDefault="000D3EDC" w:rsidP="000D3E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EDC">
        <w:rPr>
          <w:rFonts w:ascii="Times New Roman" w:hAnsi="Times New Roman" w:cs="Times New Roman"/>
          <w:sz w:val="24"/>
          <w:szCs w:val="24"/>
        </w:rPr>
        <w:t>Вопросам правового статуса, политического, социально-экономического и культурного развития иранских женщин в условиях режима Исламской Республики посвящены ра</w:t>
      </w:r>
      <w:r>
        <w:rPr>
          <w:rFonts w:ascii="Times New Roman" w:hAnsi="Times New Roman" w:cs="Times New Roman"/>
          <w:sz w:val="24"/>
          <w:szCs w:val="24"/>
        </w:rPr>
        <w:t>боты М. Мутаххари и Ш. И. Чатри</w:t>
      </w:r>
      <w:r w:rsidRPr="000D3EDC">
        <w:rPr>
          <w:rFonts w:ascii="Times New Roman" w:hAnsi="Times New Roman" w:cs="Times New Roman"/>
          <w:sz w:val="24"/>
          <w:szCs w:val="24"/>
        </w:rPr>
        <w:t>.</w:t>
      </w:r>
    </w:p>
    <w:p w:rsidR="000D3EDC" w:rsidRPr="000D3EDC" w:rsidRDefault="000D3EDC" w:rsidP="000D3E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EDC">
        <w:rPr>
          <w:rFonts w:ascii="Times New Roman" w:hAnsi="Times New Roman" w:cs="Times New Roman"/>
          <w:sz w:val="24"/>
          <w:szCs w:val="24"/>
        </w:rPr>
        <w:t>Целью исследования является реконструкция процессов становления и развития высшего женского образования в Исламской Республике Иран.</w:t>
      </w:r>
    </w:p>
    <w:p w:rsidR="000D3EDC" w:rsidRPr="000D3EDC" w:rsidRDefault="000D3EDC" w:rsidP="000D3E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EDC">
        <w:rPr>
          <w:rFonts w:ascii="Times New Roman" w:hAnsi="Times New Roman" w:cs="Times New Roman"/>
          <w:sz w:val="24"/>
          <w:szCs w:val="24"/>
        </w:rPr>
        <w:t>Достижение поставленной цели предполагает решение следующих задач:</w:t>
      </w:r>
    </w:p>
    <w:p w:rsidR="000D3EDC" w:rsidRPr="000D3EDC" w:rsidRDefault="000D3EDC" w:rsidP="000D3E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EDC">
        <w:rPr>
          <w:rFonts w:ascii="Times New Roman" w:hAnsi="Times New Roman" w:cs="Times New Roman"/>
          <w:sz w:val="24"/>
          <w:szCs w:val="24"/>
        </w:rPr>
        <w:t>- выявить источники, отражающие процессы становления и дальнейшего развития иранской системы высшего женского образования;</w:t>
      </w:r>
    </w:p>
    <w:p w:rsidR="000D3EDC" w:rsidRPr="000D3EDC" w:rsidRDefault="000D3EDC" w:rsidP="000D3E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EDC">
        <w:rPr>
          <w:rFonts w:ascii="Times New Roman" w:hAnsi="Times New Roman" w:cs="Times New Roman"/>
          <w:sz w:val="24"/>
          <w:szCs w:val="24"/>
        </w:rPr>
        <w:t>- определить особенности эволюции высшего женского образования в Иране после революции 1979 г.;</w:t>
      </w:r>
    </w:p>
    <w:p w:rsidR="000D3EDC" w:rsidRPr="000D3EDC" w:rsidRDefault="000D3EDC" w:rsidP="000D3E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EDC">
        <w:rPr>
          <w:rFonts w:ascii="Times New Roman" w:hAnsi="Times New Roman" w:cs="Times New Roman"/>
          <w:sz w:val="24"/>
          <w:szCs w:val="24"/>
        </w:rPr>
        <w:t>- выявить основные этапы в развитии государственной образовательной политики Ирана в отношении женского образования;</w:t>
      </w:r>
    </w:p>
    <w:p w:rsidR="000D3EDC" w:rsidRDefault="000D3EDC" w:rsidP="000D3E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EDC">
        <w:rPr>
          <w:rFonts w:ascii="Times New Roman" w:hAnsi="Times New Roman" w:cs="Times New Roman"/>
          <w:sz w:val="24"/>
          <w:szCs w:val="24"/>
        </w:rPr>
        <w:t>- определить основные компоненты образовательной политики Исламской Республики Иран, связанные с образованием женщин.</w:t>
      </w:r>
    </w:p>
    <w:p w:rsidR="00030FA8" w:rsidRDefault="00030FA8" w:rsidP="000D3E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FA8">
        <w:rPr>
          <w:rFonts w:ascii="Times New Roman" w:hAnsi="Times New Roman" w:cs="Times New Roman"/>
          <w:sz w:val="24"/>
          <w:szCs w:val="24"/>
        </w:rPr>
        <w:t>При проведении исследования также использовались следующие специальные исторические методы. Применение проблемно-хронологического метода позволило выделить в изучаемой теме различные блоки, которые в дальнейшем были последовательно проанализированы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0FA8">
        <w:rPr>
          <w:rFonts w:ascii="Times New Roman" w:hAnsi="Times New Roman" w:cs="Times New Roman"/>
          <w:sz w:val="24"/>
          <w:szCs w:val="24"/>
        </w:rPr>
        <w:t>Применение историко-сравнительного метода помогло определить общие черты и различия в источниках по изучаемой теме.</w:t>
      </w:r>
    </w:p>
    <w:p w:rsidR="008B6661" w:rsidRPr="008B6661" w:rsidRDefault="008B6661" w:rsidP="008B66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661">
        <w:rPr>
          <w:rFonts w:ascii="Times New Roman" w:hAnsi="Times New Roman" w:cs="Times New Roman"/>
          <w:sz w:val="24"/>
          <w:szCs w:val="24"/>
        </w:rPr>
        <w:t>Начальный этап становления женского образования в Иране характеризовался противоречием между государственной поддержкой обучения девочек и сведением его содержания к подготовке «хранительницы очага», что вызвало сопротивление женских ассоциаций [1; 4].</w:t>
      </w:r>
    </w:p>
    <w:p w:rsidR="00CE1167" w:rsidRPr="00CE1167" w:rsidRDefault="00CE1167" w:rsidP="00CE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67">
        <w:rPr>
          <w:rFonts w:ascii="Times New Roman" w:hAnsi="Times New Roman" w:cs="Times New Roman"/>
          <w:sz w:val="24"/>
          <w:szCs w:val="24"/>
        </w:rPr>
        <w:lastRenderedPageBreak/>
        <w:t>При Реза-шахе модернизация образования сочеталась с принудительным снятием хиджаба, ограничившим доступ к обучению для женщин из традиционных семей [5; 7; 8].</w:t>
      </w:r>
    </w:p>
    <w:p w:rsidR="00CE1167" w:rsidRPr="00CE1167" w:rsidRDefault="00CE1167" w:rsidP="00CE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67">
        <w:rPr>
          <w:rFonts w:ascii="Times New Roman" w:hAnsi="Times New Roman" w:cs="Times New Roman"/>
          <w:sz w:val="24"/>
          <w:szCs w:val="24"/>
        </w:rPr>
        <w:t>В эпоху Пехлеви доступ женщин к образованию расширился, однако их инициативы контролировались государством, а доля студенток к 1979 г. составляла лишь треть [9; 10; 12].</w:t>
      </w:r>
    </w:p>
    <w:p w:rsidR="00CE1167" w:rsidRPr="00CE1167" w:rsidRDefault="00CE1167" w:rsidP="00CE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67">
        <w:rPr>
          <w:rFonts w:ascii="Times New Roman" w:hAnsi="Times New Roman" w:cs="Times New Roman"/>
          <w:sz w:val="24"/>
          <w:szCs w:val="24"/>
        </w:rPr>
        <w:t>После революции 1979 г. закрытие университетов и введение гендерных ограничений стали временными, но существенными барьерами для женского образования [18; 32; 34].</w:t>
      </w:r>
    </w:p>
    <w:p w:rsidR="00CE1167" w:rsidRPr="00CE1167" w:rsidRDefault="00CE1167" w:rsidP="00CE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67">
        <w:rPr>
          <w:rFonts w:ascii="Times New Roman" w:hAnsi="Times New Roman" w:cs="Times New Roman"/>
          <w:sz w:val="24"/>
          <w:szCs w:val="24"/>
        </w:rPr>
        <w:t>Конституция ИРИ закрепила формальное равенство женщин с учетом исламских норм, что привело к возврату традиционных ролей [13; 14; 26; 27].</w:t>
      </w:r>
    </w:p>
    <w:p w:rsidR="00CE1167" w:rsidRPr="00CE1167" w:rsidRDefault="00CE1167" w:rsidP="00CE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67">
        <w:rPr>
          <w:rFonts w:ascii="Times New Roman" w:hAnsi="Times New Roman" w:cs="Times New Roman"/>
          <w:sz w:val="24"/>
          <w:szCs w:val="24"/>
        </w:rPr>
        <w:t>В 1990-е гг. ограничения на получение женщинами ряда специальностей были сняты, а их доля среди студентов достигла 40 % [37; 38; 39].</w:t>
      </w:r>
    </w:p>
    <w:p w:rsidR="00CE1167" w:rsidRPr="00CE1167" w:rsidRDefault="00CE1167" w:rsidP="00CE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67">
        <w:rPr>
          <w:rFonts w:ascii="Times New Roman" w:hAnsi="Times New Roman" w:cs="Times New Roman"/>
          <w:sz w:val="24"/>
          <w:szCs w:val="24"/>
        </w:rPr>
        <w:t>К началу 2010-х гг. женщины составляли 60 % абитуриентов и около полов</w:t>
      </w:r>
      <w:r w:rsidR="00D574E9">
        <w:rPr>
          <w:rFonts w:ascii="Times New Roman" w:hAnsi="Times New Roman" w:cs="Times New Roman"/>
          <w:sz w:val="24"/>
          <w:szCs w:val="24"/>
        </w:rPr>
        <w:t>ины студентов иранских вузов [38; 39</w:t>
      </w:r>
      <w:r w:rsidRPr="00CE1167">
        <w:rPr>
          <w:rFonts w:ascii="Times New Roman" w:hAnsi="Times New Roman" w:cs="Times New Roman"/>
          <w:sz w:val="24"/>
          <w:szCs w:val="24"/>
        </w:rPr>
        <w:t>].</w:t>
      </w:r>
    </w:p>
    <w:p w:rsidR="00CE1167" w:rsidRPr="00CE1167" w:rsidRDefault="00CE1167" w:rsidP="00CE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67">
        <w:rPr>
          <w:rFonts w:ascii="Times New Roman" w:hAnsi="Times New Roman" w:cs="Times New Roman"/>
          <w:sz w:val="24"/>
          <w:szCs w:val="24"/>
        </w:rPr>
        <w:t>Попытки М. Ахмадинежада ограничить доступ женщин к образованию оказались финансово неэффективными и не остановили роста</w:t>
      </w:r>
      <w:r w:rsidR="00D574E9">
        <w:rPr>
          <w:rFonts w:ascii="Times New Roman" w:hAnsi="Times New Roman" w:cs="Times New Roman"/>
          <w:sz w:val="24"/>
          <w:szCs w:val="24"/>
        </w:rPr>
        <w:t xml:space="preserve"> числа студенток [32;37</w:t>
      </w:r>
      <w:r w:rsidRPr="00CE1167">
        <w:rPr>
          <w:rFonts w:ascii="Times New Roman" w:hAnsi="Times New Roman" w:cs="Times New Roman"/>
          <w:sz w:val="24"/>
          <w:szCs w:val="24"/>
        </w:rPr>
        <w:t>].</w:t>
      </w:r>
    </w:p>
    <w:p w:rsidR="00CE1167" w:rsidRPr="00CE1167" w:rsidRDefault="00CE1167" w:rsidP="00CE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67">
        <w:rPr>
          <w:rFonts w:ascii="Times New Roman" w:hAnsi="Times New Roman" w:cs="Times New Roman"/>
          <w:sz w:val="24"/>
          <w:szCs w:val="24"/>
        </w:rPr>
        <w:t>При Х. Роухани курс на отказ от гендерных квот не устранил дискримин</w:t>
      </w:r>
      <w:bookmarkStart w:id="0" w:name="_GoBack"/>
      <w:bookmarkEnd w:id="0"/>
      <w:r w:rsidRPr="00CE1167">
        <w:rPr>
          <w:rFonts w:ascii="Times New Roman" w:hAnsi="Times New Roman" w:cs="Times New Roman"/>
          <w:sz w:val="24"/>
          <w:szCs w:val="24"/>
        </w:rPr>
        <w:t>ацию на рынке труда: безработица среди женщин составляла 21,8 % против</w:t>
      </w:r>
      <w:r w:rsidR="00D574E9">
        <w:rPr>
          <w:rFonts w:ascii="Times New Roman" w:hAnsi="Times New Roman" w:cs="Times New Roman"/>
          <w:sz w:val="24"/>
          <w:szCs w:val="24"/>
        </w:rPr>
        <w:t xml:space="preserve"> 10,4 % у мужчин [21;34</w:t>
      </w:r>
      <w:r w:rsidRPr="00CE1167">
        <w:rPr>
          <w:rFonts w:ascii="Times New Roman" w:hAnsi="Times New Roman" w:cs="Times New Roman"/>
          <w:sz w:val="24"/>
          <w:szCs w:val="24"/>
        </w:rPr>
        <w:t>].</w:t>
      </w:r>
    </w:p>
    <w:p w:rsidR="00CE1167" w:rsidRPr="00CE1167" w:rsidRDefault="00CE1167" w:rsidP="00CE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67">
        <w:rPr>
          <w:rFonts w:ascii="Times New Roman" w:hAnsi="Times New Roman" w:cs="Times New Roman"/>
          <w:sz w:val="24"/>
          <w:szCs w:val="24"/>
        </w:rPr>
        <w:t>Протесты 2022 г. продемонстрировали конфликт между высоким уровнем образования иранок и консерватив</w:t>
      </w:r>
      <w:r w:rsidR="00D574E9">
        <w:rPr>
          <w:rFonts w:ascii="Times New Roman" w:hAnsi="Times New Roman" w:cs="Times New Roman"/>
          <w:sz w:val="24"/>
          <w:szCs w:val="24"/>
        </w:rPr>
        <w:t>ными религиозными нормами [17; 3</w:t>
      </w:r>
      <w:r w:rsidRPr="00CE1167">
        <w:rPr>
          <w:rFonts w:ascii="Times New Roman" w:hAnsi="Times New Roman" w:cs="Times New Roman"/>
          <w:sz w:val="24"/>
          <w:szCs w:val="24"/>
        </w:rPr>
        <w:t>6].</w:t>
      </w:r>
    </w:p>
    <w:p w:rsidR="00CE1167" w:rsidRPr="00CE1167" w:rsidRDefault="00CE1167" w:rsidP="00CE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67">
        <w:rPr>
          <w:rFonts w:ascii="Times New Roman" w:hAnsi="Times New Roman" w:cs="Times New Roman"/>
          <w:sz w:val="24"/>
          <w:szCs w:val="24"/>
        </w:rPr>
        <w:t>Рост образовательного уровня женщин не привел к пропорциональному увеличению их политического представительства</w:t>
      </w:r>
      <w:r w:rsidR="00D574E9">
        <w:rPr>
          <w:rFonts w:ascii="Times New Roman" w:hAnsi="Times New Roman" w:cs="Times New Roman"/>
          <w:sz w:val="24"/>
          <w:szCs w:val="24"/>
        </w:rPr>
        <w:t xml:space="preserve"> (7,5–9,6 % в парламенте) [32; 19</w:t>
      </w:r>
      <w:r w:rsidRPr="00CE1167">
        <w:rPr>
          <w:rFonts w:ascii="Times New Roman" w:hAnsi="Times New Roman" w:cs="Times New Roman"/>
          <w:sz w:val="24"/>
          <w:szCs w:val="24"/>
        </w:rPr>
        <w:t>].</w:t>
      </w:r>
    </w:p>
    <w:p w:rsidR="00030FA8" w:rsidRDefault="00CE1167" w:rsidP="00CE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67">
        <w:rPr>
          <w:rFonts w:ascii="Times New Roman" w:hAnsi="Times New Roman" w:cs="Times New Roman"/>
          <w:sz w:val="24"/>
          <w:szCs w:val="24"/>
        </w:rPr>
        <w:t>Высокий образовательный уровень иранок стал необратимым фактором и основой для борьбы за гендерную справедливость [4; 6; 20; 21].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F1C">
        <w:rPr>
          <w:rFonts w:ascii="Times New Roman" w:hAnsi="Times New Roman" w:cs="Times New Roman"/>
          <w:bCs/>
          <w:sz w:val="24"/>
          <w:szCs w:val="24"/>
        </w:rPr>
        <w:t>Список использованных источников и литературы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F1C">
        <w:rPr>
          <w:rFonts w:ascii="Times New Roman" w:hAnsi="Times New Roman" w:cs="Times New Roman"/>
          <w:bCs/>
          <w:sz w:val="24"/>
          <w:szCs w:val="24"/>
        </w:rPr>
        <w:t>Печатные издания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Алиев, С. М. История Ирана: XX век / С. М. Алиев; РАН, Ин-т востоковедения. — М.: Ин-т востоковедения РАН; Крафт+, 2004. — 648 с.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Богачева, А. С. Иранская модель развития: концепция государства и общества, кризисы и проблемы / А. С. Богачева // Мировая экономика и международные отношения. — 2024. — Т. 68. — № 2. — С. 39–50.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Вартаньян, Э. Г. Опыт исламского правления в Иране (1990-е гг. — начало XXI в.) / Э. Г. Вартаньян // Теория и практика общественного развития. — 2012. — № 2. — С. 194–196.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Вахшитех, А. Процесс разработки систем общего и высшего образования в Иране с 1925 по 2023 / А. Вахшитех // Языки и культуры в эпоху глобализации: особенности функционирования, перспективы развития и взаимодействия / под ред. Е. Ю. Карцевой, Г. О. Лукьяновой, О. Б. Максимовой, Д. В. Тавберидзе. — М.: РУДН, 2024. — С. 40–54.</w:t>
      </w:r>
    </w:p>
    <w:p w:rsid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Глазунов, О. Н. Особенности государственной политики в сфере высшего образования в Исламской республике Иран / О. Н. Глазунов // Гуманитарное образование в экономическом вузе: материалы IV Международной научно-практической заочной интернет-конференции. 1 октября – 10 ноября 2015 г. — М.: ФГБОУ ВО «РЭУ им. Г. В. Плеханова», 2015. — С. 473–478.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lastRenderedPageBreak/>
        <w:t>Докучаева, К. С. Дискриминация в образовании по гендерному признаку в Западной, Южной и Центральной Азии / К. С. Докучаева, А. В. Плеханова // Право и управление. — 2024. — № 5. — С. 155–161.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Дружиловский, С. Б. Социальная политика в Исламской республике Иран после Исламской революции / С. Б. Дружиловский // Исламская революция в Иране: прошлое, настоящее, будущее: сб. ст. — М.: ИВ РАН, 1999. — С. 66–71.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Дружиловский, С. Б. Социальные протестные выступления в Исламской республике Иран / С. Б. Дружиловский // Вестник МГИМО-Университета. — 2015. — № 4 (43). — С. 216–221.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Дунаева, Е. В. Гендерная ситуация в Иране и исламский модернизм / Е. В. Дунаева // Мусульманское пространство по периметру границ Кавказа и Центральной Азии: сб. ст. — М.: ИВ РАН, 2012. — С. 248–260.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Дунаева, Е. В. Иран: проблемы и протесты / Е. В. Дунаева, Н. М. Мамедова, В. И. Сажин // Восточная аналитика. — 2022. — Т. 13 — № 4. — С. 9–30.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Дунаева, Е. В. Исламская революция и новая роль иранских женщин / Е. В. Дунаева // Иран в условиях новых геополитических реалий (к 40-летию Исламской революции) / отв. ред.-сост. Е. В. Дунаева. — М.: Садра, 2019. — С. 192–207.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Дунаева, Е. В. Политическая система Исламской Республики Иран: вызовы либеральной модернизации / Е. В. Дунаева // Восток. — 2016. — № 1. — С. 111–120.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Иванов, А. Хатами сдержал обещание / А. Иванов // Известия. — 2001. — 8 июня.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Иноземцева, Е. «Женский вопрос» в свете победы исламской революции в Иране / Е. Иноземцева // Власть. — 2010. — № 1. — С. 123–125.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Иноземцева, Е. К вопросу о правах женщин в Иране на современном этапе / Е. Иноземцева // Власть. — 2010. — № 3. — С. 135–138.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Карими-Мотахар, Д. Образование в Иране: от школы к вузу / Д. Карими-Мотахар, М. П. Жигалова, М. Яхьяпур // Мир образования – образование в мире. — 2011. — № 4 (44). — С. 60–69.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Конституция Исламской Республики Иран / пер. с перс. Л. А. Никитиной // Конституции государств Азии: в 3 т. — Т. 1: Западная Азия. — М.: Институт законодательства и сравнительного правоведения при Правительстве Российской Федерации; Норма, 2010. — С. 234–275.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Мамедова, Н. М. Опыт социально-экономического развития Ирана в условиях исламского правления / Н. М. Мамедова // Исламская революция в Иране: прошлое, настоящее, будущее: сб. ст. — М.: ИВ РАН, 1999. — С. 52–66.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Мамедова, Н. М. Экономическая политика правительства Хасана Роухани / Н. М. Мамедова // Иран: история и современность / под. ред. Л. М. Кулагиной, Н. М. Мамедовой; сост. И. Е. Федорова, Л. М. Раванди-Фадаи. — М.: ИВ РАН; Центр стратегической конъюнктуры, 2014. — С. 202–215.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Мутаххари, М. Хиджаб: преимущество или ущемление? / М. Мутаххари; пер. с перс. М. Машхулова. — М.: Исток, 2009. — 205 с.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Новикова, Л. А. Особенности среднего и высшего образования Ирана / Л. А. Новикова, Л. К. Ушакова // Современное педагогическое образование. — 2018. — № 3. — С. 33–36.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Речи имама Хомейни / Р. М. Хомейни // Жуков, Д. Небо над Ираном ясное: очерк политической биографии имама Хомейни / Д. Жуков. — М.: Палея, 1998. — С. 66–156.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lastRenderedPageBreak/>
        <w:t>Родионова, Е. М. Положение женщин в Исламской республике Иран в 1979-1995 гг.: проблемы образования и статуса / Е. М. Родионова // Женское образование: прошлое, настоящее и будущее: мат. I Межрегион. науч.-практ. конф. — СПб.: Изд-во Смольного института РАО, 2011. — С. 188–201.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Симонов, К. В. Гендерный аспект в образовательной политике исламских государств: часть 1 / К. В. Симонов, Д. В. Петросянц, Е. В. Махмутова, Э. М. Мантаева // Региональные проблемы преобразования экономики. — 2017. — № 4 (78). — С. 107–120.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Солеймани, Н. Виртуальное образование в Иране: история, организация, практика / Н. Солеймани, С. А. Азими // Казанский педагогический журнал. — 2014. — № 5. — С. 103–110.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Степанов, Г. Иранцы избрали своим президентом сурового исламиста / Г. Степанов // Известия. — 2005. — 26 июня.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Филин, Н. А. Президентские выборы 2009 года в Иране как попытка конкурентного выбора в ответ на монополизм государства / Н. А. Филин // Вестник РГГУ. — Серия: Политология. История. Международные отношения. Зарубежное регионоведение. Востоковедение. — 2016. — № 1 (3). — С. 113–124.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Хорассани, Н. А. Миллион подписей иранских женщин: кампания по достижению равенства / Н. А. Хорассани; пред. М. Афками; пер. с англ. — Тегеран, 2009. — 123 с.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Чатри, Ш. И. Ислам и социально-экономическое, политическое и культурное развитие женщин в Иране / Ш. И. Чатри // Историческая и социально-образовательная мысль. — 2015. — Т. 7. — № 2. — С. 84–86.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Эсмаили, С. Повышение роли женщин в парламенте Ирана после Исламской революции 1979 г. / С. Эсмаили // Вестник РУДН. — Серия: Политология. — 2020. — Т. 22. — № 1. — С. 49–58.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Эсмаили, С. Связь между присутствием женщин в Парламенте и высшим образованием в Иране / С. Эсмаили // Вестник РУДН. — Серия: Государственное и муниципальное управление. — 2020. — Т. 7. — № 3. — С. 285–294.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F1C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Афзали, М. Модель образования и академической мобильности в Иране / М. Афзали,</w:t>
      </w:r>
      <w:r>
        <w:rPr>
          <w:rFonts w:ascii="Times New Roman" w:hAnsi="Times New Roman" w:cs="Times New Roman"/>
          <w:sz w:val="24"/>
          <w:szCs w:val="24"/>
        </w:rPr>
        <w:t xml:space="preserve"> С. Рязанцев,Е.Письменная,Т.Ростовская</w:t>
      </w:r>
      <w:r w:rsidRPr="00133F1C">
        <w:rPr>
          <w:rFonts w:ascii="Times New Roman" w:hAnsi="Times New Roman" w:cs="Times New Roman"/>
          <w:sz w:val="24"/>
          <w:szCs w:val="24"/>
        </w:rPr>
        <w:t>: </w:t>
      </w:r>
      <w:hyperlink r:id="rId7" w:tgtFrame="_blank" w:history="1">
        <w:r w:rsidRPr="00133F1C">
          <w:rPr>
            <w:rStyle w:val="a3"/>
            <w:rFonts w:ascii="Times New Roman" w:hAnsi="Times New Roman" w:cs="Times New Roman"/>
            <w:sz w:val="24"/>
            <w:szCs w:val="24"/>
          </w:rPr>
          <w:t>https://ca-c.org.ru/journal/2019/journal_rus/cac-04/11.shtml</w:t>
        </w:r>
      </w:hyperlink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Женское образование в Иран</w:t>
      </w:r>
      <w:r>
        <w:rPr>
          <w:rFonts w:ascii="Times New Roman" w:hAnsi="Times New Roman" w:cs="Times New Roman"/>
          <w:sz w:val="24"/>
          <w:szCs w:val="24"/>
        </w:rPr>
        <w:t>е – история и современность</w:t>
      </w:r>
      <w:r w:rsidRPr="00133F1C">
        <w:rPr>
          <w:rFonts w:ascii="Times New Roman" w:hAnsi="Times New Roman" w:cs="Times New Roman"/>
          <w:sz w:val="24"/>
          <w:szCs w:val="24"/>
        </w:rPr>
        <w:t>: </w:t>
      </w:r>
      <w:hyperlink r:id="rId8" w:tgtFrame="_blank" w:history="1">
        <w:r w:rsidRPr="00133F1C">
          <w:rPr>
            <w:rStyle w:val="a3"/>
            <w:rFonts w:ascii="Times New Roman" w:hAnsi="Times New Roman" w:cs="Times New Roman"/>
            <w:sz w:val="24"/>
            <w:szCs w:val="24"/>
          </w:rPr>
          <w:t>https://iranmag.ru/zhenskoe-obrazovanie-v-irane/</w:t>
        </w:r>
      </w:hyperlink>
    </w:p>
    <w:p w:rsidR="00133F1C" w:rsidRDefault="00AC2F8A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F8A">
        <w:rPr>
          <w:rFonts w:ascii="Times New Roman" w:hAnsi="Times New Roman" w:cs="Times New Roman"/>
          <w:sz w:val="24"/>
          <w:szCs w:val="24"/>
        </w:rPr>
        <w:t>Иранские женщины преуспевают в науке и технике после исламской революции</w:t>
      </w:r>
      <w:r w:rsidR="00133F1C" w:rsidRPr="00133F1C">
        <w:rPr>
          <w:rFonts w:ascii="Times New Roman" w:hAnsi="Times New Roman" w:cs="Times New Roman"/>
          <w:sz w:val="24"/>
          <w:szCs w:val="24"/>
        </w:rPr>
        <w:t>: </w:t>
      </w:r>
      <w:hyperlink r:id="rId9" w:tgtFrame="_blank" w:history="1">
        <w:r w:rsidR="00133F1C" w:rsidRPr="00133F1C">
          <w:rPr>
            <w:rStyle w:val="a3"/>
            <w:rFonts w:ascii="Times New Roman" w:hAnsi="Times New Roman" w:cs="Times New Roman"/>
            <w:sz w:val="24"/>
            <w:szCs w:val="24"/>
          </w:rPr>
          <w:t>https://iran.ru/news/politics/127449/</w:t>
        </w:r>
      </w:hyperlink>
      <w:r w:rsidR="00133F1C" w:rsidRPr="00133F1C">
        <w:rPr>
          <w:rFonts w:ascii="Times New Roman" w:hAnsi="Times New Roman" w:cs="Times New Roman"/>
          <w:sz w:val="24"/>
          <w:szCs w:val="24"/>
        </w:rPr>
        <w:t> </w:t>
      </w:r>
    </w:p>
    <w:p w:rsidR="00AC2F8A" w:rsidRPr="00AC2F8A" w:rsidRDefault="00AC2F8A" w:rsidP="00AC2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F8A">
        <w:rPr>
          <w:rFonts w:ascii="Times New Roman" w:hAnsi="Times New Roman" w:cs="Times New Roman"/>
          <w:sz w:val="24"/>
          <w:szCs w:val="24"/>
        </w:rPr>
        <w:t>Особенности образования в Исламской Республике Иран: </w:t>
      </w:r>
      <w:hyperlink r:id="rId10" w:tgtFrame="_blank" w:history="1">
        <w:r w:rsidRPr="00133F1C">
          <w:rPr>
            <w:rStyle w:val="a3"/>
            <w:rFonts w:ascii="Times New Roman" w:hAnsi="Times New Roman" w:cs="Times New Roman"/>
            <w:sz w:val="24"/>
            <w:szCs w:val="24"/>
          </w:rPr>
          <w:t>https://www.iran.ru/news/culture/70773/</w:t>
        </w:r>
      </w:hyperlink>
      <w:r w:rsidRPr="00133F1C">
        <w:rPr>
          <w:rFonts w:ascii="Times New Roman" w:hAnsi="Times New Roman" w:cs="Times New Roman"/>
          <w:sz w:val="24"/>
          <w:szCs w:val="24"/>
        </w:rPr>
        <w:t> 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</w:t>
      </w:r>
      <w:r w:rsidRPr="00133F1C">
        <w:rPr>
          <w:rFonts w:ascii="Times New Roman" w:hAnsi="Times New Roman" w:cs="Times New Roman"/>
          <w:sz w:val="24"/>
          <w:szCs w:val="24"/>
        </w:rPr>
        <w:t>появления и развития высшего образования в Иране: </w:t>
      </w:r>
      <w:hyperlink r:id="rId11" w:tgtFrame="_blank" w:history="1">
        <w:r w:rsidRPr="00133F1C">
          <w:rPr>
            <w:rStyle w:val="a3"/>
            <w:rFonts w:ascii="Times New Roman" w:hAnsi="Times New Roman" w:cs="Times New Roman"/>
            <w:sz w:val="24"/>
            <w:szCs w:val="24"/>
          </w:rPr>
          <w:t>https://parstoday.ir/ru/radio/programs-i21691/</w:t>
        </w:r>
      </w:hyperlink>
      <w:r w:rsidRPr="00133F1C">
        <w:rPr>
          <w:rFonts w:ascii="Times New Roman" w:hAnsi="Times New Roman" w:cs="Times New Roman"/>
          <w:sz w:val="24"/>
          <w:szCs w:val="24"/>
        </w:rPr>
        <w:t> </w:t>
      </w:r>
    </w:p>
    <w:p w:rsidR="00133F1C" w:rsidRPr="00133F1C" w:rsidRDefault="00133F1C" w:rsidP="00133F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Уровень грамотности женщин в Иране вырос в 2,5 раза после Исламской революции: </w:t>
      </w:r>
      <w:hyperlink r:id="rId12" w:tgtFrame="_blank" w:history="1">
        <w:r w:rsidRPr="00133F1C">
          <w:rPr>
            <w:rStyle w:val="a3"/>
            <w:rFonts w:ascii="Times New Roman" w:hAnsi="Times New Roman" w:cs="Times New Roman"/>
            <w:sz w:val="24"/>
            <w:szCs w:val="24"/>
          </w:rPr>
          <w:t>https://iran.ru/news/culture/127192/</w:t>
        </w:r>
      </w:hyperlink>
      <w:r w:rsidRPr="00133F1C">
        <w:rPr>
          <w:rFonts w:ascii="Times New Roman" w:hAnsi="Times New Roman" w:cs="Times New Roman"/>
          <w:sz w:val="24"/>
          <w:szCs w:val="24"/>
        </w:rPr>
        <w:t> </w:t>
      </w:r>
    </w:p>
    <w:p w:rsidR="00133F1C" w:rsidRPr="00CE1167" w:rsidRDefault="00133F1C" w:rsidP="00CE11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1C">
        <w:rPr>
          <w:rFonts w:ascii="Times New Roman" w:hAnsi="Times New Roman" w:cs="Times New Roman"/>
          <w:sz w:val="24"/>
          <w:szCs w:val="24"/>
        </w:rPr>
        <w:t>Фархад Ибрагимов об особенностях системы образования в Иране: </w:t>
      </w:r>
      <w:hyperlink r:id="rId13" w:tgtFrame="_blank" w:history="1">
        <w:r w:rsidRPr="00133F1C">
          <w:rPr>
            <w:rStyle w:val="a3"/>
            <w:rFonts w:ascii="Times New Roman" w:hAnsi="Times New Roman" w:cs="Times New Roman"/>
            <w:sz w:val="24"/>
            <w:szCs w:val="24"/>
          </w:rPr>
          <w:t>https://ru.unesco.rea.ru/?news=фархад-ибрагимов-об-особенностях-сис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</w:p>
    <w:sectPr w:rsidR="00133F1C" w:rsidRPr="00CE1167" w:rsidSect="00133F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3E" w:rsidRDefault="00D5393E" w:rsidP="000D3EDC">
      <w:pPr>
        <w:spacing w:after="0" w:line="240" w:lineRule="auto"/>
      </w:pPr>
      <w:r>
        <w:separator/>
      </w:r>
    </w:p>
  </w:endnote>
  <w:endnote w:type="continuationSeparator" w:id="0">
    <w:p w:rsidR="00D5393E" w:rsidRDefault="00D5393E" w:rsidP="000D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3E" w:rsidRDefault="00D5393E" w:rsidP="000D3EDC">
      <w:pPr>
        <w:spacing w:after="0" w:line="240" w:lineRule="auto"/>
      </w:pPr>
      <w:r>
        <w:separator/>
      </w:r>
    </w:p>
  </w:footnote>
  <w:footnote w:type="continuationSeparator" w:id="0">
    <w:p w:rsidR="00D5393E" w:rsidRDefault="00D5393E" w:rsidP="000D3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5763F"/>
    <w:multiLevelType w:val="multilevel"/>
    <w:tmpl w:val="6130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73A72"/>
    <w:multiLevelType w:val="multilevel"/>
    <w:tmpl w:val="BC0820E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FF"/>
    <w:rsid w:val="00030FA8"/>
    <w:rsid w:val="000D3EDC"/>
    <w:rsid w:val="00133F1C"/>
    <w:rsid w:val="003A35FF"/>
    <w:rsid w:val="00492BA5"/>
    <w:rsid w:val="00526D03"/>
    <w:rsid w:val="008B6661"/>
    <w:rsid w:val="00AC2F8A"/>
    <w:rsid w:val="00BD65D0"/>
    <w:rsid w:val="00CE1167"/>
    <w:rsid w:val="00D101BA"/>
    <w:rsid w:val="00D5393E"/>
    <w:rsid w:val="00D5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2A28"/>
  <w15:chartTrackingRefBased/>
  <w15:docId w15:val="{A0A4DA86-4927-4DE0-9CE7-E4042324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F1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01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anmag.ru/zhenskoe-obrazovanie-v-irane/" TargetMode="External"/><Relationship Id="rId13" Type="http://schemas.openxmlformats.org/officeDocument/2006/relationships/hyperlink" Target="https://ru.unesco.rea.ru/?news=%D1%84%D0%B0%D1%80%D1%85%D0%B0%D0%B4-%D0%B8%D0%B1%D1%80%D0%B0%D0%B3%D0%B8%D0%BC%D0%BE%D0%B2-%D0%BE%D0%B1-%D0%BE%D1%81%D0%BE%D0%B1%D0%B5%D0%BD%D0%BD%D0%BE%D1%81%D1%82%D1%8F%D1%85-%D1%81%D0%B8%D1%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-c.org.ru/journal/2019/journal_rus/cac-04/11.shtml" TargetMode="External"/><Relationship Id="rId12" Type="http://schemas.openxmlformats.org/officeDocument/2006/relationships/hyperlink" Target="https://iran.ru/news/culture/1271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rstoday.ir/ru/radio/programs-i21691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ran.ru/news/culture/7077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an.ru/news/politics/12744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4</cp:revision>
  <dcterms:created xsi:type="dcterms:W3CDTF">2026-03-26T14:49:00Z</dcterms:created>
  <dcterms:modified xsi:type="dcterms:W3CDTF">2026-03-26T14:53:00Z</dcterms:modified>
</cp:coreProperties>
</file>