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smarkdownparagraph"/>
        <w:shd w:val="clear" w:color="auto" w:fill="FFFFFF"/>
        <w:spacing w:before="0" w:afterAutospacing="0" w:after="0"/>
        <w:jc w:val="center"/>
        <w:rPr/>
      </w:pPr>
      <w:r>
        <w:rPr>
          <w:rStyle w:val="Style14"/>
          <w:i w:val="false"/>
          <w:iCs w:val="false"/>
          <w:caps/>
          <w:color w:val="000000"/>
          <w:shd w:fill="auto" w:val="clear"/>
        </w:rPr>
        <w:t>Внутренний контроль в деятельности автовокзала</w:t>
      </w:r>
      <w:bookmarkStart w:id="0" w:name="_GoBack"/>
      <w:bookmarkEnd w:id="0"/>
    </w:p>
    <w:p>
      <w:pPr>
        <w:pStyle w:val="Normal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color w:val="auto"/>
        </w:rPr>
      </w:pP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>Новохатка Екатерина Сергеевна,</w:t>
      </w:r>
    </w:p>
    <w:p>
      <w:pPr>
        <w:pStyle w:val="Normal"/>
        <w:spacing w:lineRule="auto" w:line="240" w:before="0" w:after="0"/>
        <w:jc w:val="right"/>
        <w:rPr>
          <w:color w:val="auto"/>
        </w:rPr>
      </w:pP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>ФГБОУ ВО «Адыгейский государственный университет», г.Майкоп</w:t>
      </w:r>
    </w:p>
    <w:p>
      <w:pPr>
        <w:pStyle w:val="Normal"/>
        <w:spacing w:lineRule="auto" w:line="240" w:before="0" w:after="0"/>
        <w:jc w:val="right"/>
        <w:rPr>
          <w:color w:val="auto"/>
        </w:rPr>
      </w:pP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 xml:space="preserve">Научный руководитель </w:t>
      </w:r>
      <w:r>
        <w:rPr>
          <w:rFonts w:eastAsia="Symbol" w:cs="Symbol" w:ascii="Symbol" w:hAnsi="Symbol"/>
          <w:i/>
          <w:iCs/>
          <w:color w:val="auto"/>
          <w:sz w:val="24"/>
          <w:szCs w:val="24"/>
        </w:rPr>
        <w:t></w:t>
      </w: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 xml:space="preserve"> Силина Татьяна Александровна,</w:t>
      </w:r>
    </w:p>
    <w:p>
      <w:pPr>
        <w:pStyle w:val="Normal"/>
        <w:spacing w:lineRule="auto" w:line="240" w:before="0" w:after="0"/>
        <w:jc w:val="right"/>
        <w:rPr>
          <w:color w:val="auto"/>
        </w:rPr>
      </w:pP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  <w:t>к.э.н., доцент, ФГБОУ ВО «Адыгейский государственный университет», г.Майкоп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iCs/>
          <w:color w:val="auto"/>
          <w:sz w:val="24"/>
          <w:szCs w:val="24"/>
        </w:rPr>
      </w:pPr>
      <w:r>
        <w:rPr>
          <w:rFonts w:cs="Times New Roman" w:ascii="Times New Roman" w:hAnsi="Times New Roman"/>
          <w:i/>
          <w:iCs/>
          <w:color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Актуальность: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В соответствии со ст. 19 Федерального закона № 402-ФЗ «О бухгалтерском учете» на экономические субъекты возложена обязанность по организации и осуществлению внутреннего контроля совершаемых фактов хозяйственной жизни [6]. Особую значимость данное требование приобретает для организаций автотранспортной отрасли, осуществляющих деятельность автовокзалов и пассажирских автостанций. Специфика их деятельности предопределяет повышенные риски искажения учетных данных, несвоевременного поступления денежных средств и налоговых ошибок. Вместе с тем существующее методологическое обеспечение внутреннего контроля ориентировано на абстрактный экономический субъект и не учитывает отраслевые особенности, что обуславливает актуальность исследования.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Степень разработанности: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Теоретические основы внутреннего контроля заложены в трудах Тейлора Ф. [7], Файоля А. [8], а также в работах российских ученых — Шеремета А.Д. [10], Бурцева В.В [2], Данилевского Ю.А [3]. Современные исследования Амирова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GB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С.А. [1], Касюк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GB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Е.А. [4], Хисамутдинова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  <w:lang w:val="en-GB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Ю.Р. [9] акцентируют внимание на риск-ориентированном подходе и отраслевой специфики. Международные модели предлагают детализированные, но рекомендательные методики, требующие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отраслевой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адаптации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с учетом масштабов деятельности.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Вместе с тем вопросы формализации контрольных процедур и внедрения риск-ориентированного подхода в деятельность автовокзалов остаются недостаточно проработанными.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Цель и задачи исследования: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Цель работы — разработка научно обоснованных рекомендаций по совершенствованию системы внутреннего контроля в автотранспортной организации. Для достижения цели поставлены следующие задачи: исследовать теоретические основы внутреннего контроля и охарактеризовать современное состояние автотранспортной отрасли России; провести анализ финансово-хозяйственной деятельности и действующей системы внутреннего контроля АО «Объединение АВ и АС»; разработать предложения по организационно-методическому обеспечению внутреннего контроля с учетом отраслевой специфики.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4"/>
          <w:szCs w:val="24"/>
          <w:shd w:fill="FFFFFF" w:val="clear"/>
        </w:rPr>
        <w:t xml:space="preserve">Методы исследования: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В работе использованы общенаучные методы (анализ, синтез, сравнение, обобщение), специальные приемы экономического анализа (горизонтальный и вертикальный анализ, расчет коэффициентов), метод группировки данных, а также метод количественной оценки рисков (расчет интегрального показателя как произведения вероятности наступления риска и степени его влияния). Эмпирическую базу составили учредительные документы, учетная политика, бухгалтерская отчетность АО «Объединение АВ и АС», а также статистические данные Министерства транспорта РФ и Росстата.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contextualSpacing/>
        <w:jc w:val="both"/>
        <w:rPr>
          <w:color w:val="auto"/>
        </w:rPr>
      </w:pPr>
      <w:r>
        <w:rPr>
          <w:rFonts w:eastAsia="Times New Roman" w:cs="Times New Roman" w:ascii="Times New Roman" w:hAnsi="Times New Roman"/>
          <w:color w:val="auto"/>
          <w:sz w:val="24"/>
          <w:szCs w:val="24"/>
          <w:lang w:eastAsia="ru-RU"/>
        </w:rPr>
        <w:t>Научные результаты и выводы. В ходе исследования получены следующие результаты, обладающие научной новизной и практической значимостью.</w:t>
      </w:r>
    </w:p>
    <w:p>
      <w:pPr>
        <w:pStyle w:val="Dsmarkdownparagraph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0" w:firstLine="709"/>
        <w:contextualSpacing/>
        <w:jc w:val="both"/>
        <w:rPr>
          <w:color w:val="auto"/>
        </w:rPr>
      </w:pPr>
      <w:r>
        <w:rPr>
          <w:color w:val="auto"/>
        </w:rPr>
        <w:t>Выявлены отраслевые особенности деятельности автовокзалов, требующие учета при построении системы внутреннего контроля: агентская схема расчетов с перевозчиками, необходимость раздельного учета комиссионного вознаграждения и тарифа перевозчика для целей исчисления НДС, наличие бюджетной дебиторской задолженности по льготным перевозкам, а также отсутствие формализованных регламентов контрольных процедур.</w:t>
      </w:r>
    </w:p>
    <w:p>
      <w:pPr>
        <w:pStyle w:val="Dsmarkdownparagraph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0" w:firstLine="709"/>
        <w:contextualSpacing/>
        <w:jc w:val="both"/>
        <w:rPr>
          <w:color w:val="auto"/>
        </w:rPr>
      </w:pPr>
      <w:r>
        <w:rPr>
          <w:color w:val="auto"/>
        </w:rPr>
        <w:t>На основе авторской методики количественной оценки рисков (трехуровневая шкала вероятности и влияния, расчет интегрального показателя по формуле R = P × I, где P — вероятность, I — влияние) идентифицированы и ранжированы риски деятельности организации. К критическому уровню (9 баллов) отнесен риск роста дебиторской задолженности, к высокому уровню (6 баллов) — налоговые риски по НДС и УСН, к среднему (3—4 балла) — риск нецелевых закупок и несвоевременных расчетов с перевозчиками.</w:t>
      </w:r>
    </w:p>
    <w:p>
      <w:pPr>
        <w:pStyle w:val="Dsmarkdownparagraph"/>
        <w:numPr>
          <w:ilvl w:val="0"/>
          <w:numId w:val="1"/>
        </w:numPr>
        <w:shd w:val="clear" w:color="auto" w:fill="FFFFFF"/>
        <w:spacing w:beforeAutospacing="0" w:before="0" w:afterAutospacing="0" w:after="0"/>
        <w:ind w:left="0" w:firstLine="709"/>
        <w:contextualSpacing/>
        <w:jc w:val="both"/>
        <w:rPr>
          <w:color w:val="auto"/>
        </w:rPr>
      </w:pPr>
      <w:r>
        <w:rPr>
          <w:color w:val="auto"/>
        </w:rPr>
        <w:t>Разработаны направления совершенствования системы внутреннего контроля: формализация контрольных процедур — предложено Положение о внутреннем контроле, учитывающее отраслевую специфику, регламентирован процесс закупок и график документооборота с перевозчиками; внедрение риск-ориентированного подхода — введен трехэтапный порядок работы с нарушениями (регистрация — анализ причин — разработка мер); дополнение учетной политики — закреплен порядок исчисления НДС (5% с комиссионного вознаграждения, с неиспользованных билетов — с полной стоимости) и перечень расходов, уменьшающих налоговую базу при УСН.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Предложенные мероприятия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позволят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обеспечить преемственность контрольных функций при смене персонала, снизить налоговые риски и повысить достоверность учетной информации. Разработанный проект Положения о внутреннем контроле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может быть рекомендован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 к использованию в деятельности иных организаций автотранспортной отрасли.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</w:r>
    </w:p>
    <w:p>
      <w:pPr>
        <w:pStyle w:val="Dsmarkdownparagraph"/>
        <w:shd w:val="clear" w:color="auto" w:fill="FFFFFF"/>
        <w:spacing w:beforeAutospacing="0" w:before="0" w:afterAutospacing="0" w:after="0"/>
        <w:rPr>
          <w:color w:val="auto"/>
        </w:rPr>
      </w:pPr>
      <w:r>
        <w:rPr>
          <w:rFonts w:eastAsia="Calibri" w:eastAsiaTheme="minorHAnsi"/>
          <w:b/>
          <w:bCs/>
          <w:color w:val="000000"/>
          <w:shd w:fill="FFFFFF" w:val="clear"/>
          <w:lang w:eastAsia="en-US"/>
        </w:rPr>
        <w:t>Список литературы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i/>
          <w:iCs/>
          <w:color w:val="auto"/>
        </w:rPr>
        <w:t>Амирова С. А.</w:t>
      </w:r>
      <w:r>
        <w:rPr>
          <w:color w:val="auto"/>
        </w:rPr>
        <w:t xml:space="preserve"> Внутренний налоговый контроль и оценка налоговых рисков / С. А. Амирова // Естественно-гуманитарные исследования. — 2024. — № 5 (55). — С. 40–45.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i/>
          <w:iCs/>
          <w:color w:val="auto"/>
        </w:rPr>
        <w:t>Бурцев В. В.</w:t>
      </w:r>
      <w:r>
        <w:rPr>
          <w:color w:val="auto"/>
        </w:rPr>
        <w:t xml:space="preserve"> Внутренний контроль в коммерческой организации : монография / В. В. Бурцев. — Москва : Дашков и К°, 2018. — 272 с.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i/>
          <w:iCs/>
          <w:color w:val="auto"/>
        </w:rPr>
        <w:t>Данилевский Ю. А.</w:t>
      </w:r>
      <w:r>
        <w:rPr>
          <w:color w:val="auto"/>
        </w:rPr>
        <w:t xml:space="preserve"> Аудит : учебное пособие / Ю. А. Данилевский, С. М. Шапигузов, Н. А. Ремизов. — Москва : ФБК-Пресс, 2019. — 544 с.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i/>
          <w:iCs/>
          <w:color w:val="auto"/>
        </w:rPr>
        <w:t>Касюк Е. А.</w:t>
      </w:r>
      <w:r>
        <w:rPr>
          <w:color w:val="auto"/>
        </w:rPr>
        <w:t xml:space="preserve"> Внутренний контроль в автотранспортных организациях : диссертация … кандидата экономических наук : 08.00.12 / Е. А. Касюк. — Москва, 2018. — 215 с.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color w:val="auto"/>
        </w:rPr>
        <w:t>Российская Федерация. Законы. Налоговый кодекс Российской Федерации : часть вторая : [принят Государственной думой 19 июля 2000 года] // КонсультантПлюс : справочно-правовая система. — Москва, 1997. — Загл. с титул. экрана.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color w:val="auto"/>
        </w:rPr>
        <w:t>Российская Федерация. Законы. О бухгалтерском учете : Федеральный закон № 402-ФЗ : [принят Государственной думой 22 ноября 2011 года] // КонсультантПлюс : справочно-правовая система. — Москва, 1997. — Загл. с титул. экрана.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i/>
          <w:iCs/>
          <w:color w:val="auto"/>
        </w:rPr>
        <w:t>Тейлор Ф. У</w:t>
      </w:r>
      <w:r>
        <w:rPr>
          <w:color w:val="auto"/>
        </w:rPr>
        <w:t>. Принципы научного менеджмента / Ф. У. Тейлор ; перевод с английского А. И. Зака. — Москва : Контроллинг, 1991. — 104 с.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i/>
          <w:iCs/>
          <w:color w:val="auto"/>
        </w:rPr>
        <w:t>Файоль А.</w:t>
      </w:r>
      <w:r>
        <w:rPr>
          <w:color w:val="auto"/>
        </w:rPr>
        <w:t xml:space="preserve"> Общее и промышленное управление / А. Файоль ; перевод с французского Б. В. Бабина-Кореня. — Москва : Контроллинг, 1992. — 112 с.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i/>
          <w:iCs/>
          <w:color w:val="auto"/>
        </w:rPr>
        <w:t>Хисамутдинова Ю. Р.</w:t>
      </w:r>
      <w:r>
        <w:rPr>
          <w:color w:val="auto"/>
        </w:rPr>
        <w:t xml:space="preserve"> Внутренний контроль как фактор повышения эффективности расчетов с покупателями и заказчиками автотранспортного предприятия / Ю. Р. Хисамутдинова, Т. А. Терентьева // Шаг в науку. — 2024. — № 1. — С. 4–8.</w:t>
      </w:r>
    </w:p>
    <w:p>
      <w:pPr>
        <w:pStyle w:val="Dsmarkdownparagraph"/>
        <w:numPr>
          <w:ilvl w:val="0"/>
          <w:numId w:val="2"/>
        </w:numPr>
        <w:shd w:val="clear" w:color="auto" w:fill="FFFFFF"/>
        <w:spacing w:beforeAutospacing="0" w:before="0" w:afterAutospacing="0" w:after="0"/>
        <w:ind w:left="0" w:firstLine="709"/>
        <w:jc w:val="both"/>
        <w:rPr>
          <w:color w:val="auto"/>
        </w:rPr>
      </w:pPr>
      <w:r>
        <w:rPr>
          <w:i/>
          <w:iCs/>
          <w:color w:val="auto"/>
        </w:rPr>
        <w:t xml:space="preserve">Шеремет А. Д. </w:t>
      </w:r>
      <w:r>
        <w:rPr>
          <w:color w:val="auto"/>
        </w:rPr>
        <w:t>Анализ и диагностика финансово-хозяйственной деятельности предприятия : учебник / А. Д. Шеремет. — 2-е издание, дополненное. — Москва : ИНФРА-М, 2022. — 374 с.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color w:val="auto"/>
        </w:rPr>
      </w:pPr>
      <w:r>
        <w:rPr>
          <w:color w:val="auto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5716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57160"/>
    <w:rPr>
      <w:b/>
      <w:bCs/>
    </w:rPr>
  </w:style>
  <w:style w:type="character" w:styleId="Style14">
    <w:name w:val="Emphasis"/>
    <w:basedOn w:val="DefaultParagraphFont"/>
    <w:uiPriority w:val="20"/>
    <w:qFormat/>
    <w:rsid w:val="0025302e"/>
    <w:rPr>
      <w:i/>
      <w:i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  <w:style w:type="paragraph" w:styleId="Dsmarkdownparagraph" w:customStyle="1">
    <w:name w:val="ds-markdown-paragraph"/>
    <w:basedOn w:val="Normal"/>
    <w:qFormat/>
    <w:rsid w:val="00b571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LibreOffice/7.4.7.2$Linux_X86_64 LibreOffice_project/40$Build-2</Application>
  <AppVersion>15.0000</AppVersion>
  <Pages>2</Pages>
  <Words>810</Words>
  <Characters>5727</Characters>
  <CharactersWithSpaces>6531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2026-04-08T20:59:00Z</dcterms:created>
  <dc:creator>Rinka</dc:creator>
  <dc:description/>
  <dc:language>ru-RU</dc:language>
  <cp:lastModifiedBy/>
  <dcterms:modified xsi:type="dcterms:W3CDTF">2026-04-10T01:24:03Z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