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right"/>
        <w:rPr>
          <w:rFonts w:ascii="Times New Roman" w:cs="Times New Roman" w:hAnsi="Times New Roman" w:eastAsia="Times New Roman"/>
          <w:b w:val="1"/>
          <w:bCs w:val="1"/>
          <w:i w:val="1"/>
          <w:iCs w:val="1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Хачемизова К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rtl w:val="0"/>
          <w:lang w:val="ru-RU"/>
        </w:rPr>
        <w:t>А</w:t>
      </w:r>
      <w:r>
        <w:rPr>
          <w:rFonts w:ascii="Times New Roman" w:hAnsi="Times New Roman"/>
          <w:b w:val="1"/>
          <w:bCs w:val="1"/>
          <w:i w:val="1"/>
          <w:iCs w:val="1"/>
          <w:rtl w:val="0"/>
          <w:lang w:val="ru-RU"/>
        </w:rPr>
        <w:t>.,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Научный руководитель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: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Шадже М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.,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к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ю</w:t>
      </w:r>
      <w:r>
        <w:rPr>
          <w:rFonts w:ascii="Times New Roman" w:hAnsi="Times New Roman"/>
          <w:i w:val="1"/>
          <w:iCs w:val="1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н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.,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доцент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ФГБОУ ВО «Адыгейский государственный университет»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, 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right"/>
        <w:rPr>
          <w:rFonts w:ascii="Times New Roman" w:cs="Times New Roman" w:hAnsi="Times New Roman" w:eastAsia="Times New Roman"/>
          <w:i w:val="1"/>
          <w:iCs w:val="1"/>
        </w:rPr>
      </w:pPr>
      <w:r>
        <w:rPr>
          <w:rFonts w:ascii="Times New Roman" w:hAnsi="Times New Roman" w:hint="default"/>
          <w:i w:val="1"/>
          <w:iCs w:val="1"/>
          <w:rtl w:val="0"/>
          <w:lang w:val="ru-RU"/>
        </w:rPr>
        <w:t>г</w:t>
      </w:r>
      <w:r>
        <w:rPr>
          <w:rFonts w:ascii="Times New Roman" w:hAnsi="Times New Roman"/>
          <w:i w:val="1"/>
          <w:iCs w:val="1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rtl w:val="0"/>
          <w:lang w:val="ru-RU"/>
        </w:rPr>
        <w:t>Майкоп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center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ЧАСТНОЕ ОПРЕДЕЛЕНИЕ СУДА КАК СРЕДСТВО ПРОФИЛАКТИКИ СУДЕБНЫХ РЕШЕНИЙ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b w:val="1"/>
          <w:bCs w:val="1"/>
          <w:shd w:val="clear" w:color="auto" w:fill="ffffff"/>
        </w:rPr>
      </w:pP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Развитие современной судебной системы связано с возрастающими требованиями к уровню и качеству осуществления правосудия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При этом одной из наиболее значимых проблем остается наличие судебных ошибок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снижающих доверие к судебной власти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нарушающих права и законные интересы граждан и препятствующих реализации принципа законности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Неправомерное судебное решение является следствием судебной ошибки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определяемой как некорректное применение норм материального и процессуального права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 связи с этим становится очевидной потребность в разработке и внедрении эффективных механизмов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которые не только исправляли бы уже допущенные ошибки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но и предотвращали их появление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Институт частного определения суда служит одним из таких превентивных инструментов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активно выявляя и устраняя факторы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способствующие нарушению законодательства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>Судебные ошибки выступают объективно обусловленным элементом правоприменительной деятельности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поскольку деятельность судьи связана с необходимостью оценки доказательств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интерпретации правовых норм и функционирования в рамках установленных процессуальных ограничений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юридической доктрине судебная ошибка определяется как нарушение требований законности и обоснованности судебного акта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допущенное субъектом осуществления правосудия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 xml:space="preserve">Устранение судебных ошибок посредством механизмов пересмотра судебных актов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апелляционного и кассационного производства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не всегда является эффективным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В этой связи особую значимость приобретает их предупреждение на ранних стадиях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что обеспечивается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в частности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посредством института частного определения суда </w:t>
      </w:r>
      <w:r>
        <w:rPr>
          <w:rFonts w:ascii="Times New Roman" w:hAnsi="Times New Roman"/>
          <w:rtl w:val="0"/>
          <w:lang w:val="ru-RU"/>
        </w:rPr>
        <w:t xml:space="preserve">[1, </w:t>
      </w:r>
      <w:r>
        <w:rPr>
          <w:rFonts w:ascii="Times New Roman" w:hAnsi="Times New Roman" w:hint="default"/>
          <w:rtl w:val="0"/>
          <w:lang w:val="ru-RU"/>
        </w:rPr>
        <w:t>с</w:t>
      </w:r>
      <w:r>
        <w:rPr>
          <w:rFonts w:ascii="Times New Roman" w:hAnsi="Times New Roman"/>
          <w:rtl w:val="0"/>
          <w:lang w:val="ru-RU"/>
        </w:rPr>
        <w:t xml:space="preserve">. 274]. 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 w:hint="default"/>
          <w:rtl w:val="0"/>
          <w:lang w:val="ru-RU"/>
        </w:rPr>
        <w:t xml:space="preserve">Статья </w:t>
      </w:r>
      <w:r>
        <w:rPr>
          <w:rFonts w:ascii="Times New Roman" w:hAnsi="Times New Roman"/>
          <w:rtl w:val="0"/>
          <w:lang w:val="ru-RU"/>
        </w:rPr>
        <w:t xml:space="preserve">226 </w:t>
      </w:r>
      <w:r>
        <w:rPr>
          <w:rFonts w:ascii="Times New Roman" w:hAnsi="Times New Roman" w:hint="default"/>
          <w:rtl w:val="0"/>
          <w:lang w:val="ru-RU"/>
        </w:rPr>
        <w:t>ГПК РФ регулирует механизм реагирования суда на выявленные нарушения законности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Суд вправе выносить частные определения и направлять их в компетентные органы или должностным лицам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которые обязаны в установленный срок </w:t>
      </w:r>
      <w:r>
        <w:rPr>
          <w:rFonts w:ascii="Times New Roman" w:hAnsi="Times New Roman"/>
          <w:rtl w:val="0"/>
          <w:lang w:val="ru-RU"/>
        </w:rPr>
        <w:t>(</w:t>
      </w:r>
      <w:r>
        <w:rPr>
          <w:rFonts w:ascii="Times New Roman" w:hAnsi="Times New Roman" w:hint="default"/>
          <w:rtl w:val="0"/>
          <w:lang w:val="ru-RU"/>
        </w:rPr>
        <w:t>один месяц</w:t>
      </w:r>
      <w:r>
        <w:rPr>
          <w:rFonts w:ascii="Times New Roman" w:hAnsi="Times New Roman"/>
          <w:rtl w:val="0"/>
          <w:lang w:val="ru-RU"/>
        </w:rPr>
        <w:t xml:space="preserve">) </w:t>
      </w:r>
      <w:r>
        <w:rPr>
          <w:rFonts w:ascii="Times New Roman" w:hAnsi="Times New Roman" w:hint="default"/>
          <w:rtl w:val="0"/>
          <w:lang w:val="ru-RU"/>
        </w:rPr>
        <w:t>сообщить о принятых мерах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Невыполнение данной обязанности может повлечь наложение судебного штрафа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>при этом обязанность по информированию сохраняется</w:t>
      </w:r>
      <w:r>
        <w:rPr>
          <w:rFonts w:ascii="Times New Roman" w:hAnsi="Times New Roman"/>
          <w:rtl w:val="0"/>
          <w:lang w:val="ru-RU"/>
        </w:rPr>
        <w:t xml:space="preserve">. </w:t>
      </w:r>
      <w:r>
        <w:rPr>
          <w:rFonts w:ascii="Times New Roman" w:hAnsi="Times New Roman" w:hint="default"/>
          <w:rtl w:val="0"/>
          <w:lang w:val="ru-RU"/>
        </w:rPr>
        <w:t>Кроме того</w:t>
      </w:r>
      <w:r>
        <w:rPr>
          <w:rFonts w:ascii="Times New Roman" w:hAnsi="Times New Roman"/>
          <w:rtl w:val="0"/>
          <w:lang w:val="ru-RU"/>
        </w:rPr>
        <w:t xml:space="preserve">, </w:t>
      </w:r>
      <w:r>
        <w:rPr>
          <w:rFonts w:ascii="Times New Roman" w:hAnsi="Times New Roman" w:hint="default"/>
          <w:rtl w:val="0"/>
          <w:lang w:val="ru-RU"/>
        </w:rPr>
        <w:t xml:space="preserve">при обнаружении признаков преступления в действиях участников процесса или иных лиц суд направляет соответствующие сведения в органы дознания или предварительного следствия </w:t>
      </w:r>
      <w:r>
        <w:rPr>
          <w:rFonts w:ascii="Times New Roman" w:hAnsi="Times New Roman"/>
          <w:rtl w:val="0"/>
          <w:lang w:val="ru-RU"/>
        </w:rPr>
        <w:t>[2].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Частное определение суда представляет собой особый вид судебного акта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выносимого судом при выявлении нарушений закона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не являющихся предметом непосредственного разрешения по делу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Оно направлено на устранение причин и условий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способствующих этим нарушениям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Согласно положениям процессуального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законодательства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частные определения могут выноситься как судами первой инстанции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так и вышестоящими судами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Характерная ситуация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когда вышестоящий суд реагирует на нарушения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допущенные нижестоящим судом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Частное  определение позволяет суду установить не только факт нарушения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но и причины его возникновения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Такими являются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недостаток организации судебных функций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систематические нарушения процессуальных действий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неправомерное использование правовых норм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Частное определение выполняет аналитическую работу и повышает качество правосудия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Пленум Верховного Суда Российской Федерации не раз обращал внимание на то чтобы Вышестоящие судебные инстанции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: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апелляционная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 xml:space="preserve">кассационная и надзорная были обязаны принимать меры в ответ на случаи несоблюдения нижестоящими судьями правовых норм и правил судейской этики 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[3].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Такие меры должны выражаться в форме вынесения ими специальных постановлений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направляемых соответствующим инстанциям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Практика показывает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что органы судейского сообщества достаточно строго реагируют на нарушения процессуального законодательства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Неоднократное игнорирование частных определений и систематические ошибки приводят к дисциплинарной ответственности судьи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вплоть до досрочного прекращения его полномочий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Кроме того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при оценке профессиональной деятельности судей учитывается число вынесенных частных определений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Частное определение не указывает конкретную меру ответственности и не устанавливает обязательных требований для исправления выявленных нарушений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Их основная цель заключается в выявлении  существующих недостатков и мотивирование к их устранению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чтобы предотвратить повторение подобных инцидентов в будущем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shd w:val="clear" w:color="auto" w:fill="ffffff"/>
        </w:rPr>
      </w:pP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Для того чтобы институт частных определений функционировал эффективно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необходимо сделать его более прозрачным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Например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размещение текста таких актов на официальном сайте суда поможет усилить превентивные меры и повысить уровень ответственность судьи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Частное определение суда является важным инструментом предотвращения судебных ошибок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,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выявляя причины нарушения и воздействуя на участников процесса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 xml:space="preserve">.  </w:t>
      </w:r>
      <w:r>
        <w:rPr>
          <w:rFonts w:ascii="Times New Roman" w:hAnsi="Times New Roman" w:hint="default"/>
          <w:shd w:val="clear" w:color="auto" w:fill="ffffff"/>
          <w:rtl w:val="0"/>
          <w:lang w:val="ru-RU"/>
        </w:rPr>
        <w:t>Эффективность этого института во многом зависит от активного его использования в практике и в совершенствовании законодательства</w:t>
      </w:r>
      <w:r>
        <w:rPr>
          <w:rFonts w:ascii="Times New Roman" w:hAnsi="Times New Roman"/>
          <w:shd w:val="clear" w:color="auto" w:fill="ffffff"/>
          <w:rtl w:val="0"/>
          <w:lang w:val="ru-RU"/>
        </w:rPr>
        <w:t>.</w:t>
      </w:r>
    </w:p>
    <w:p>
      <w:pPr>
        <w:pStyle w:val="По умолчанию 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cs="Times New Roman" w:hAnsi="Times New Roman" w:eastAsia="Times New Roman"/>
          <w:shd w:val="clear" w:color="auto" w:fill="ffffff"/>
        </w:rPr>
      </w:pPr>
    </w:p>
    <w:p>
      <w:pPr>
        <w:pStyle w:val="По умолчанию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132"/>
        </w:tabs>
        <w:suppressAutoHyphens w:val="1"/>
        <w:spacing w:before="0" w:line="240" w:lineRule="auto"/>
        <w:jc w:val="center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shd w:val="clear" w:color="auto" w:fill="ffffff"/>
          <w:rtl w:val="0"/>
          <w:lang w:val="ru-RU"/>
        </w:rPr>
        <w:t>Список литературы</w:t>
      </w:r>
    </w:p>
    <w:p>
      <w:pPr>
        <w:pStyle w:val="По умолчанию B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27251e"/>
          <w:rtl w:val="0"/>
          <w:lang w:val="ru-RU"/>
          <w14:textFill>
            <w14:solidFill>
              <w14:srgbClr w14:val="27251E"/>
            </w14:solidFill>
          </w14:textFill>
        </w:rPr>
      </w:pP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Фоминых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А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С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Частное определение суда как способ предупреждения судебных ошибок 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/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А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С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Фоминых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– Текст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непосредственный 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//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Молодой ученый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2018.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– № 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18 (204).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– С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. 273-276.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–</w:t>
      </w:r>
      <w:r>
        <w:rPr>
          <w:rFonts w:ascii="Times New Roman" w:hAnsi="Times New Roman"/>
          <w:outline w:val="0"/>
          <w:color w:val="27251e"/>
          <w:u w:color="27251e"/>
          <w:rtl w:val="0"/>
          <w:lang w:val="de-DE"/>
          <w14:textFill>
            <w14:solidFill>
              <w14:srgbClr w14:val="27251E"/>
            </w14:solidFill>
          </w14:textFill>
        </w:rPr>
        <w:t xml:space="preserve"> URL: https://moluch.ru/archive/204/49946.</w:t>
      </w:r>
    </w:p>
    <w:p>
      <w:pPr>
        <w:pStyle w:val="По умолчанию B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27251e"/>
          <w:rtl w:val="0"/>
          <w:lang w:val="ru-RU"/>
          <w14:textFill>
            <w14:solidFill>
              <w14:srgbClr w14:val="27251E"/>
            </w14:solidFill>
          </w14:textFill>
        </w:rPr>
      </w:pP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Гражданский процессуальный кодекс Российской Федерации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федеральный закон от 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14.11.2002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 г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№ 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138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‑ФЗ 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ред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от 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01.01.2026) //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Собрание законодательства РФ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2002.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– № 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46.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– Ст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.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 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4532. </w:t>
      </w:r>
    </w:p>
    <w:p>
      <w:pPr>
        <w:pStyle w:val="По умолчанию B"/>
        <w:numPr>
          <w:ilvl w:val="0"/>
          <w:numId w:val="2"/>
        </w:numPr>
        <w:suppressAutoHyphens w:val="1"/>
        <w:bidi w:val="0"/>
        <w:spacing w:before="0" w:line="240" w:lineRule="auto"/>
        <w:ind w:right="0"/>
        <w:jc w:val="both"/>
        <w:rPr>
          <w:rFonts w:ascii="Times New Roman" w:hAnsi="Times New Roman" w:hint="default"/>
          <w:outline w:val="0"/>
          <w:color w:val="27251e"/>
          <w:rtl w:val="0"/>
          <w:lang w:val="ru-RU"/>
          <w14:textFill>
            <w14:solidFill>
              <w14:srgbClr w14:val="27251E"/>
            </w14:solidFill>
          </w14:textFill>
        </w:rPr>
      </w:pP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Об утверждении Положения о порядке размещения текстов судебных актов на официальных сайтах Верховного Суда Российской Федерации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судов общей юрисдикции и арбитражных судов в информационно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телекоммуникационной сети «Интернет»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: 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постановление Президиума Верховного Суда Российской Федерации от 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27.09.2017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г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№ 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29 //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Бюллетень Верховного Суда РФ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– 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2017. </w:t>
      </w:r>
      <w:r>
        <w:rPr>
          <w:rFonts w:ascii="Times New Roman" w:hAnsi="Times New Roman" w:hint="default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 xml:space="preserve">– № </w:t>
      </w:r>
      <w:r>
        <w:rPr>
          <w:rFonts w:ascii="Times New Roman" w:hAnsi="Times New Roman"/>
          <w:outline w:val="0"/>
          <w:color w:val="27251e"/>
          <w:u w:color="27251e"/>
          <w:rtl w:val="0"/>
          <w:lang w:val="ru-RU"/>
          <w14:textFill>
            <w14:solidFill>
              <w14:srgbClr w14:val="27251E"/>
            </w14:solidFill>
          </w14:textFill>
        </w:rPr>
        <w:t>12.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tabs>
          <w:tab w:val="num" w:pos="962"/>
        </w:tabs>
        <w:ind w:left="2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962"/>
          <w:tab w:val="num" w:pos="1762"/>
        </w:tabs>
        <w:ind w:left="10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962"/>
          <w:tab w:val="num" w:pos="2562"/>
        </w:tabs>
        <w:ind w:left="18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62"/>
          <w:tab w:val="num" w:pos="3362"/>
        </w:tabs>
        <w:ind w:left="26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962"/>
          <w:tab w:val="num" w:pos="4162"/>
        </w:tabs>
        <w:ind w:left="34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962"/>
          <w:tab w:val="num" w:pos="4962"/>
        </w:tabs>
        <w:ind w:left="42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62"/>
          <w:tab w:val="num" w:pos="5762"/>
        </w:tabs>
        <w:ind w:left="50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962"/>
          <w:tab w:val="num" w:pos="6562"/>
        </w:tabs>
        <w:ind w:left="58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962"/>
          <w:tab w:val="num" w:pos="7362"/>
        </w:tabs>
        <w:ind w:left="6653" w:firstLine="4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По умолчанию A">
    <w:name w:val="По умолчанию A"/>
    <w:next w:val="По умолчанию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По умолчанию B">
    <w:name w:val="По умолчанию B"/>
    <w:next w:val="По умолчанию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