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2B" w:rsidRPr="00532DE7" w:rsidRDefault="00091017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017">
        <w:rPr>
          <w:rFonts w:ascii="Times New Roman" w:hAnsi="Times New Roman" w:cs="Times New Roman"/>
          <w:b/>
          <w:sz w:val="24"/>
          <w:szCs w:val="24"/>
        </w:rPr>
        <w:t>ЭКСПЕРИМЕНТАЛЬНОЕ ОБОСНОВАНИЕ МОДЕЛИ КОМПЛЕКСНОГО РАЗВИТИЯ ДВИГАТЕЛЬНЫХ С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ПОСОБНОСТЕЙ ЮНЫХ БАСКЕТБОЛИСТОВ </w:t>
      </w:r>
      <w:r w:rsidRPr="00091017">
        <w:rPr>
          <w:rFonts w:ascii="Times New Roman" w:hAnsi="Times New Roman" w:cs="Times New Roman"/>
          <w:b/>
          <w:sz w:val="24"/>
          <w:szCs w:val="24"/>
        </w:rPr>
        <w:t>8–10 ЛЕТ</w:t>
      </w:r>
    </w:p>
    <w:p w:rsidR="00532DE7" w:rsidRDefault="00091017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910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Любименко</w:t>
      </w:r>
    </w:p>
    <w:p w:rsidR="00F117FE" w:rsidRPr="00807512" w:rsidRDefault="0081730C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910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В.И. Жуков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910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доктор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исследования обусловлена необходимостью совершенствования научно-</w:t>
      </w:r>
      <w:proofErr w:type="gram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подходов</w:t>
      </w:r>
      <w:proofErr w:type="gram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построению начального этапа многолетней подготовки в баскетболе. Современные требования к соревновательной деятельности предполагают высокий уровень развития быстроты, координации, скоростно-силовых качеств, гибкости и специальной выносливости. Именно в возрасте 8–10 лет формируется двигательная база, определяющая эффективность дальнейшего освоения технических и тактических действий.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возрастной период относится к </w:t>
      </w:r>
      <w:proofErr w:type="gram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сенситивным</w:t>
      </w:r>
      <w:proofErr w:type="gram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координационных и скоростных способностей, что требует научно обоснованного моделирования тренировочного процесса. Вместе с тем в практике детско-юношеского баскетбола сохраняется преимущественно традиционный подход к физической подготовке, недостаточно учитывающий оптимальное соотношение обще- и специально-подготовительных средств. Это обусловило необходимость разработки и экспериментальной проверки модели комплексного развития двигательных способностей.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исследования – процесс физической подготовки юных баскетболистов 8–10 лет на начальном этапе обучения.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исследования – модель комплексного развития двигательных способностей в структуре тренировочного процесса.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разработать и экспериментально обосновать модель комплексного развития двигательных способностей юных баскетболистов 8–10 лет.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исследования заключалась в предположении о том, что внедрение модели, основанной на рациональном сочетании общефизических и специально-игровых упражнений, обеспечит более выраженную положительную динамику показателей двигательной подготовленности по сравнению с традиционной системой подготовки.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исследования решались следующие задачи: анализ научно-методической литературы; определение исходного уровня двигательной подготовленности; разработка модели комплексного развития; экспериментальная проверка её эффективности.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 включали анализ и обобщение литературных источников, педагогическое наблюдение, тестирование, педагогический эксперимент и методы математической статистики. Эксперимент проводился на базе детско-юношеской спортивной школы с участием 40 баскетболистов 8–10 лет, разделённых на контрольную (n = 20) и экспериментальную (n = 20) группы. Исходные показатели статистически значимо не различались (p &gt; 0,05).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модель предусматривала системное развитие двигательных способностей по следующим направлениям: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скоростных качеств посредством специальных беговых упражнений и игровых стартовых реакций;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совершенствование координационных способностей через вариативные задания с мячом и элементы соревновательных ситуаций;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скоростно-силовых качеств с использованием прыжковых комплексов;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выносливости через интервальные игровые упражнения;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гибкости в рамках разминки и специальных комплексов.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Особенностью модели являлось увеличение доли упражнений, приближённых к структуре игровых действий, а также варьирование интенсивности и объёма нагрузки </w:t>
      </w:r>
      <w:proofErr w:type="gram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учётом возрастных возможностей. Продолжительность эксперимента составила шесть месяцев при трёх тренировках в неделю.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итоговых результатов показал положительную динамику в обеих группах, однако в экспериментальной группе прирост показателей был статистически значимо выше (p &lt; 0,05). Улучшение в беге на 20 м составило 9,7 % против 5,1 % в контрольной группе; в челночном беге – 11,5 % против 5,1 %; в вертикальном прыжке – 26,7 % против 15,6 %; в прыжке в длину – 15,7 % против 10,3 %; в гибкости – 51,4 % против 30,1 %; в ведении мяча – 10,7 % </w:t>
      </w:r>
      <w:proofErr w:type="gram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5,1 %.</w:t>
      </w:r>
    </w:p>
    <w:p w:rsidR="00091017" w:rsidRPr="00091017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выраженные различия выявлены в показателях скоростно-силовой подготовленности и координации, что подтверждает эффективность включения специализированных игровых средств. Повышение гибкости и улучшение техники ведения мяча свидетельствуют о комплексном характере воздействия разработанной модели.</w:t>
      </w:r>
    </w:p>
    <w:p w:rsidR="0081730C" w:rsidRPr="0081730C" w:rsidRDefault="00091017" w:rsidP="0009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экспериментально доказано, что моделирование структуры физической подготовки с учётом специфики баскетбола и возрастных особенностей 8–10-летних спортсменов обеспечивает более эффективное развитие двигательных способностей. Внедрение предложенной модели в практику детско-юношеских спортивных школ позволит повысить качество начальной подготовки и создать предпосылки для долгосрочного спортивного совершенствования.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4" w:rsidRPr="00807512" w:rsidRDefault="00BF528F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81730C" w:rsidRDefault="00091017" w:rsidP="0081730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юных баскетболистов скорости и точности броска / О. В. Костикова, С. В. Азизов, С. А. </w:t>
      </w:r>
      <w:proofErr w:type="spell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Болтобаев</w:t>
      </w:r>
      <w:proofErr w:type="spell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др.] // Физическая культура, спорт - наука и практика. – 2025. – № 2. – С. 109-114.</w:t>
      </w:r>
    </w:p>
    <w:p w:rsidR="004D2EBE" w:rsidRPr="006E79BD" w:rsidRDefault="00091017" w:rsidP="0081730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Шкирьянов</w:t>
      </w:r>
      <w:proofErr w:type="spell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Д.Э. Особенности уровня общей физической подготовленности юных баскетболистов / Д.Э. </w:t>
      </w:r>
      <w:proofErr w:type="spell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Шкирьянов</w:t>
      </w:r>
      <w:proofErr w:type="spell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Т.В. </w:t>
      </w:r>
      <w:proofErr w:type="spell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Дубко</w:t>
      </w:r>
      <w:proofErr w:type="spell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Наука - образованию, производству, экономике</w:t>
      </w:r>
      <w:proofErr w:type="gram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72-й Региональной научно-практической конференции преподавателей, научных сотрудников и аспирантов, Витебск, 20 февраля 2020 года / Редколлегия: И.М. Прищепа (гл. ред.) [и др.]. – Витебск: Витебский государственный университет им. П.М. </w:t>
      </w:r>
      <w:proofErr w:type="spellStart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Машерова</w:t>
      </w:r>
      <w:proofErr w:type="spellEnd"/>
      <w:r w:rsidRPr="00091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 – С. 334-335.</w:t>
      </w:r>
    </w:p>
    <w:sectPr w:rsidR="004D2EBE" w:rsidRPr="006E79BD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AF427E"/>
    <w:multiLevelType w:val="hybridMultilevel"/>
    <w:tmpl w:val="2AB01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1D"/>
    <w:rsid w:val="0005008F"/>
    <w:rsid w:val="000763E8"/>
    <w:rsid w:val="00090CBF"/>
    <w:rsid w:val="00091017"/>
    <w:rsid w:val="000A78DC"/>
    <w:rsid w:val="000D7675"/>
    <w:rsid w:val="00125CFA"/>
    <w:rsid w:val="00173CE7"/>
    <w:rsid w:val="00186A9D"/>
    <w:rsid w:val="00196921"/>
    <w:rsid w:val="001C4995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6B53"/>
    <w:rsid w:val="00791AB1"/>
    <w:rsid w:val="0079409B"/>
    <w:rsid w:val="007965F0"/>
    <w:rsid w:val="00807512"/>
    <w:rsid w:val="0081730C"/>
    <w:rsid w:val="00874854"/>
    <w:rsid w:val="00925E77"/>
    <w:rsid w:val="00944499"/>
    <w:rsid w:val="009702E2"/>
    <w:rsid w:val="009763CA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F7A04"/>
    <w:rsid w:val="00E20639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ZavBMBD</cp:lastModifiedBy>
  <cp:revision>62</cp:revision>
  <dcterms:created xsi:type="dcterms:W3CDTF">2019-11-29T06:42:00Z</dcterms:created>
  <dcterms:modified xsi:type="dcterms:W3CDTF">2026-03-02T17:46:00Z</dcterms:modified>
</cp:coreProperties>
</file>