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Гендерное неравенство в праве: историко-правовое исследование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Актуальность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Несмотря на закрепление принципа равенства в праве, гендерное неравенство сохраняется на практике. Исторически правовые системы формировались в условиях патриархального общества, что обусловило закрепление дискриминационных норм. Исследование актуально в связи с необходимостью выявления исторических причин неравенства и совершенствования современного правового регулирования.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Обзор существующих исследований и литературы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Исследование гендерного неравенства в праве базируется на широком круге отечественных и зарубежных работ.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1. Классические и отечественные юридические исследования: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  <w:t xml:space="preserve">С.В. Поленина — анализ равных прав и возможностей, а также прав женщин в системе прав человека;</w:t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  <w:t xml:space="preserve">— исследования феминизма и гендерного равенства;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А.М. Лушников, М.В. Лушникова — гендерное равенство в семейном и трудовом праве;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Цель и задачи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Цель: выявить исторические закономерности гендерного неравенства в праве.</w:t>
      </w:r>
    </w:p>
    <w:p w:rsidR="00000000" w:rsidDel="00000000" w:rsidP="00000000" w:rsidRDefault="00000000" w:rsidRPr="00000000" w14:paraId="0000000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Задачи: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анализ правового статуса в разные эпохи; выявление форм дискриминации;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изучение факторов влияния;</w:t>
      </w:r>
    </w:p>
    <w:p w:rsidR="00000000" w:rsidDel="00000000" w:rsidP="00000000" w:rsidRDefault="00000000" w:rsidRPr="00000000" w14:paraId="0000000F">
      <w:pPr>
        <w:jc w:val="center"/>
        <w:rPr/>
      </w:pPr>
      <w:r w:rsidDel="00000000" w:rsidR="00000000" w:rsidRPr="00000000">
        <w:rPr>
          <w:rtl w:val="0"/>
        </w:rPr>
        <w:t xml:space="preserve">оценка роли международного права.</w:t>
      </w:r>
    </w:p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Методы</w:t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Историко-правовой, сравнительно-правовой, формально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-юридический, системный и междисциплинарный подход.</w:t>
      </w:r>
    </w:p>
    <w:p w:rsidR="00000000" w:rsidDel="00000000" w:rsidP="00000000" w:rsidRDefault="00000000" w:rsidRPr="00000000" w14:paraId="0000001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Результаты и выводы</w:t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  <w:t xml:space="preserve">Установлено, что гендерное неравенство имеет устойчивые исторические корни, а право длительное время закрепляло патриархальные модели.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Формальное равенство не гарантирует фактического.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Вывод</w:t>
      </w:r>
      <w:r w:rsidDel="00000000" w:rsidR="00000000" w:rsidRPr="00000000">
        <w:rPr>
          <w:rtl w:val="0"/>
        </w:rPr>
        <w:t xml:space="preserve">: необходимо развитие гендерно ориентированного правового регулирования и комплексных мер по обеспечению реального равенства.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