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DEEF0" w14:textId="7D31E3A5" w:rsidR="002862BB" w:rsidRPr="00B34FDA" w:rsidRDefault="002862BB" w:rsidP="00B34FDA">
      <w:pPr>
        <w:adjustRightInd w:val="0"/>
        <w:snapToGrid w:val="0"/>
        <w:spacing w:after="0" w:line="240" w:lineRule="auto"/>
        <w:ind w:firstLine="709"/>
        <w:jc w:val="right"/>
        <w:rPr>
          <w:rFonts w:ascii="Times New Roman" w:hAnsi="Times New Roman" w:cs="Times New Roman"/>
          <w:b/>
          <w:bCs/>
          <w:i/>
          <w:iCs/>
        </w:rPr>
      </w:pPr>
      <w:r w:rsidRPr="00E044C0">
        <w:rPr>
          <w:rFonts w:ascii="Times New Roman" w:hAnsi="Times New Roman" w:cs="Times New Roman"/>
          <w:i/>
          <w:iCs/>
        </w:rPr>
        <w:t>Автор:</w:t>
      </w:r>
      <w:r>
        <w:rPr>
          <w:rFonts w:ascii="Times New Roman" w:hAnsi="Times New Roman" w:cs="Times New Roman"/>
          <w:b/>
          <w:bCs/>
          <w:i/>
          <w:iCs/>
        </w:rPr>
        <w:t xml:space="preserve"> </w:t>
      </w:r>
      <w:proofErr w:type="spellStart"/>
      <w:r>
        <w:rPr>
          <w:rFonts w:ascii="Times New Roman" w:hAnsi="Times New Roman" w:cs="Times New Roman"/>
          <w:b/>
          <w:bCs/>
          <w:i/>
          <w:iCs/>
        </w:rPr>
        <w:t>Хачецукова</w:t>
      </w:r>
      <w:proofErr w:type="spellEnd"/>
      <w:r>
        <w:rPr>
          <w:rFonts w:ascii="Times New Roman" w:hAnsi="Times New Roman" w:cs="Times New Roman"/>
          <w:b/>
          <w:bCs/>
          <w:i/>
          <w:iCs/>
        </w:rPr>
        <w:t xml:space="preserve"> Дарина </w:t>
      </w:r>
      <w:proofErr w:type="spellStart"/>
      <w:r>
        <w:rPr>
          <w:rFonts w:ascii="Times New Roman" w:hAnsi="Times New Roman" w:cs="Times New Roman"/>
          <w:b/>
          <w:bCs/>
          <w:i/>
          <w:iCs/>
        </w:rPr>
        <w:t>Аслановна</w:t>
      </w:r>
      <w:proofErr w:type="spellEnd"/>
    </w:p>
    <w:p w14:paraId="6CE34FCE" w14:textId="16D6FD2F" w:rsidR="00DF19C9" w:rsidRDefault="005E1886" w:rsidP="00E044C0">
      <w:pPr>
        <w:adjustRightInd w:val="0"/>
        <w:snapToGrid w:val="0"/>
        <w:spacing w:after="0" w:line="240" w:lineRule="auto"/>
        <w:ind w:firstLine="709"/>
        <w:jc w:val="right"/>
        <w:rPr>
          <w:rFonts w:ascii="Times New Roman" w:hAnsi="Times New Roman" w:cs="Times New Roman"/>
          <w:i/>
          <w:iCs/>
        </w:rPr>
      </w:pPr>
      <w:r>
        <w:rPr>
          <w:rFonts w:ascii="Times New Roman" w:hAnsi="Times New Roman" w:cs="Times New Roman"/>
          <w:i/>
          <w:iCs/>
        </w:rPr>
        <w:t>Научный</w:t>
      </w:r>
      <w:r w:rsidR="003E1A0C">
        <w:rPr>
          <w:rFonts w:ascii="Times New Roman" w:hAnsi="Times New Roman" w:cs="Times New Roman"/>
          <w:i/>
          <w:iCs/>
        </w:rPr>
        <w:t xml:space="preserve"> руководитель</w:t>
      </w:r>
      <w:r w:rsidR="003269D8" w:rsidRPr="003269D8">
        <w:rPr>
          <w:rFonts w:ascii="Times New Roman" w:hAnsi="Times New Roman" w:cs="Times New Roman"/>
          <w:bCs/>
          <w:i/>
          <w:iCs/>
        </w:rPr>
        <w:t>:</w:t>
      </w:r>
      <w:r w:rsidR="003269D8">
        <w:rPr>
          <w:rFonts w:ascii="Times New Roman" w:hAnsi="Times New Roman" w:cs="Times New Roman"/>
          <w:b/>
          <w:i/>
          <w:iCs/>
        </w:rPr>
        <w:t xml:space="preserve"> </w:t>
      </w:r>
      <w:proofErr w:type="spellStart"/>
      <w:r w:rsidR="003269D8">
        <w:rPr>
          <w:rFonts w:ascii="Times New Roman" w:hAnsi="Times New Roman" w:cs="Times New Roman"/>
          <w:b/>
          <w:i/>
          <w:iCs/>
        </w:rPr>
        <w:t>Тхаркахо</w:t>
      </w:r>
      <w:proofErr w:type="spellEnd"/>
      <w:r w:rsidR="003269D8">
        <w:rPr>
          <w:rFonts w:ascii="Times New Roman" w:hAnsi="Times New Roman" w:cs="Times New Roman"/>
          <w:b/>
          <w:i/>
          <w:iCs/>
        </w:rPr>
        <w:t xml:space="preserve"> Марина Меджидовна, </w:t>
      </w:r>
      <w:proofErr w:type="spellStart"/>
      <w:r w:rsidR="003269D8" w:rsidRPr="003269D8">
        <w:rPr>
          <w:rFonts w:ascii="Times New Roman" w:hAnsi="Times New Roman" w:cs="Times New Roman"/>
          <w:bCs/>
          <w:i/>
          <w:iCs/>
        </w:rPr>
        <w:t>к.ю.н</w:t>
      </w:r>
      <w:proofErr w:type="spellEnd"/>
      <w:r w:rsidR="003269D8" w:rsidRPr="003269D8">
        <w:rPr>
          <w:rFonts w:ascii="Times New Roman" w:hAnsi="Times New Roman" w:cs="Times New Roman"/>
          <w:bCs/>
          <w:i/>
          <w:iCs/>
        </w:rPr>
        <w:t>., доцент</w:t>
      </w:r>
      <w:r w:rsidR="003E1A0C" w:rsidRPr="006106E5">
        <w:rPr>
          <w:rFonts w:ascii="Times New Roman" w:hAnsi="Times New Roman" w:cs="Times New Roman"/>
          <w:b/>
          <w:i/>
          <w:iCs/>
        </w:rPr>
        <w:t xml:space="preserve"> </w:t>
      </w:r>
    </w:p>
    <w:p w14:paraId="1E67B845" w14:textId="578C7EF6" w:rsidR="00847852" w:rsidRDefault="00847852" w:rsidP="00E044C0">
      <w:pPr>
        <w:adjustRightInd w:val="0"/>
        <w:snapToGrid w:val="0"/>
        <w:spacing w:after="0" w:line="240" w:lineRule="auto"/>
        <w:ind w:firstLine="709"/>
        <w:jc w:val="right"/>
        <w:rPr>
          <w:rFonts w:ascii="Times New Roman" w:hAnsi="Times New Roman" w:cs="Times New Roman"/>
          <w:i/>
          <w:iCs/>
        </w:rPr>
      </w:pPr>
      <w:r>
        <w:rPr>
          <w:rFonts w:ascii="Times New Roman" w:hAnsi="Times New Roman" w:cs="Times New Roman"/>
          <w:i/>
          <w:iCs/>
        </w:rPr>
        <w:t>ФГБОУ ВО «Адыгейский государственный университет», г. Майкоп</w:t>
      </w:r>
    </w:p>
    <w:p w14:paraId="3E6EBB91" w14:textId="77777777" w:rsidR="00CB5153" w:rsidRPr="00D04E02" w:rsidRDefault="00CB5153" w:rsidP="00E044C0">
      <w:pPr>
        <w:adjustRightInd w:val="0"/>
        <w:snapToGrid w:val="0"/>
        <w:spacing w:after="0" w:line="240" w:lineRule="auto"/>
        <w:ind w:firstLine="709"/>
        <w:jc w:val="center"/>
        <w:rPr>
          <w:rFonts w:ascii="Times New Roman" w:hAnsi="Times New Roman" w:cs="Times New Roman"/>
          <w:i/>
          <w:iCs/>
        </w:rPr>
      </w:pPr>
    </w:p>
    <w:p w14:paraId="3567E6C4" w14:textId="06388981" w:rsidR="002A2B06" w:rsidRDefault="002A2B06" w:rsidP="00E044C0">
      <w:pPr>
        <w:adjustRightInd w:val="0"/>
        <w:snapToGrid w:val="0"/>
        <w:spacing w:after="0" w:line="240" w:lineRule="auto"/>
        <w:ind w:firstLine="709"/>
        <w:jc w:val="center"/>
        <w:rPr>
          <w:rFonts w:ascii="Times New Roman" w:hAnsi="Times New Roman" w:cs="Times New Roman"/>
          <w:b/>
          <w:bCs/>
        </w:rPr>
      </w:pPr>
      <w:r w:rsidRPr="002046E7">
        <w:rPr>
          <w:rFonts w:ascii="Times New Roman" w:hAnsi="Times New Roman" w:cs="Times New Roman"/>
          <w:b/>
          <w:bCs/>
        </w:rPr>
        <w:t>КОДЕКС НАПОЛЕОНА КАК ПРАВОВАЯ ОСНОВА БУРЖУАЗНОГО ОБЩЕСТВА И МЕХАНИЗМ ЗАКРЕПЛЕНИЯ СОЦИАЛЬНОГО НЕРАВЕНСТВА</w:t>
      </w:r>
    </w:p>
    <w:p w14:paraId="57D3B2B5" w14:textId="77777777" w:rsidR="00E044C0" w:rsidRPr="006106E5" w:rsidRDefault="00E044C0" w:rsidP="00E044C0">
      <w:pPr>
        <w:adjustRightInd w:val="0"/>
        <w:snapToGrid w:val="0"/>
        <w:spacing w:after="0" w:line="240" w:lineRule="auto"/>
        <w:rPr>
          <w:rFonts w:ascii="Times New Roman" w:hAnsi="Times New Roman" w:cs="Times New Roman"/>
          <w:b/>
          <w:bCs/>
        </w:rPr>
      </w:pPr>
    </w:p>
    <w:p w14:paraId="052FAB17" w14:textId="51C1585A" w:rsidR="006106E5" w:rsidRDefault="006B2651" w:rsidP="00E044C0">
      <w:pPr>
        <w:adjustRightInd w:val="0"/>
        <w:snapToGrid w:val="0"/>
        <w:spacing w:after="0" w:line="240" w:lineRule="auto"/>
        <w:ind w:firstLine="709"/>
        <w:jc w:val="both"/>
        <w:rPr>
          <w:rFonts w:ascii="Times New Roman" w:hAnsi="Times New Roman" w:cs="Times New Roman"/>
        </w:rPr>
      </w:pPr>
      <w:r w:rsidRPr="006106E5">
        <w:rPr>
          <w:rFonts w:ascii="Times New Roman" w:hAnsi="Times New Roman" w:cs="Times New Roman"/>
        </w:rPr>
        <w:t>В современном мире, где вопросы социальной справедливости и равенства стоят в центре общественно-политической повестки, обращение к истокам формирования буржуазного права представляет особый интерес. Французский Гражданский кодекс 1804 года, известный как Кодекс Наполеона, стал эталоном для правовых систем многих государств. Однако его роль не ограничивается</w:t>
      </w:r>
      <w:r w:rsidR="008B0184" w:rsidRPr="006106E5">
        <w:rPr>
          <w:rFonts w:ascii="Times New Roman" w:hAnsi="Times New Roman" w:cs="Times New Roman"/>
        </w:rPr>
        <w:t xml:space="preserve"> </w:t>
      </w:r>
      <w:r w:rsidRPr="006106E5">
        <w:rPr>
          <w:rFonts w:ascii="Times New Roman" w:hAnsi="Times New Roman" w:cs="Times New Roman"/>
        </w:rPr>
        <w:t xml:space="preserve">формальным закреплением прав и свобод. Актуальность данного исследования заключается в необходимости критического переосмысления наследия Кодекса, выявления его двойственной природы: с одной стороны, как инструмента разрушения феодальных устоев, а с другой </w:t>
      </w:r>
      <w:r w:rsidR="00E044C0">
        <w:rPr>
          <w:rFonts w:ascii="Times New Roman" w:hAnsi="Times New Roman" w:cs="Times New Roman"/>
        </w:rPr>
        <w:t>-</w:t>
      </w:r>
      <w:r w:rsidRPr="006106E5">
        <w:rPr>
          <w:rFonts w:ascii="Times New Roman" w:hAnsi="Times New Roman" w:cs="Times New Roman"/>
        </w:rPr>
        <w:t xml:space="preserve"> как эффективного механизма легитимации и закрепления социально-экономического</w:t>
      </w:r>
      <w:r w:rsidR="008B0184" w:rsidRPr="006106E5">
        <w:rPr>
          <w:rFonts w:ascii="Times New Roman" w:hAnsi="Times New Roman" w:cs="Times New Roman"/>
        </w:rPr>
        <w:t xml:space="preserve"> </w:t>
      </w:r>
      <w:r w:rsidRPr="006106E5">
        <w:rPr>
          <w:rFonts w:ascii="Times New Roman" w:hAnsi="Times New Roman" w:cs="Times New Roman"/>
        </w:rPr>
        <w:t>неравенства,</w:t>
      </w:r>
      <w:r w:rsidR="008B0184" w:rsidRPr="006106E5">
        <w:rPr>
          <w:rFonts w:ascii="Times New Roman" w:hAnsi="Times New Roman" w:cs="Times New Roman"/>
        </w:rPr>
        <w:t xml:space="preserve"> </w:t>
      </w:r>
      <w:r w:rsidRPr="006106E5">
        <w:rPr>
          <w:rFonts w:ascii="Times New Roman" w:hAnsi="Times New Roman" w:cs="Times New Roman"/>
        </w:rPr>
        <w:t>свойственного</w:t>
      </w:r>
      <w:r w:rsidR="008B0184" w:rsidRPr="006106E5">
        <w:rPr>
          <w:rFonts w:ascii="Times New Roman" w:hAnsi="Times New Roman" w:cs="Times New Roman"/>
        </w:rPr>
        <w:t xml:space="preserve"> </w:t>
      </w:r>
      <w:r w:rsidRPr="006106E5">
        <w:rPr>
          <w:rFonts w:ascii="Times New Roman" w:hAnsi="Times New Roman" w:cs="Times New Roman"/>
        </w:rPr>
        <w:t>капиталистическому обществу.</w:t>
      </w:r>
    </w:p>
    <w:p w14:paraId="0684265A" w14:textId="7F5AD52C" w:rsidR="00E8215E" w:rsidRDefault="00E8215E" w:rsidP="00E044C0">
      <w:pPr>
        <w:adjustRightInd w:val="0"/>
        <w:snapToGrid w:val="0"/>
        <w:spacing w:after="0" w:line="240" w:lineRule="auto"/>
        <w:ind w:firstLine="709"/>
        <w:jc w:val="both"/>
        <w:rPr>
          <w:rFonts w:ascii="Times New Roman" w:hAnsi="Times New Roman" w:cs="Times New Roman"/>
        </w:rPr>
      </w:pPr>
      <w:r w:rsidRPr="00E8215E">
        <w:rPr>
          <w:rFonts w:ascii="Times New Roman" w:hAnsi="Times New Roman" w:cs="Times New Roman"/>
        </w:rPr>
        <w:t>Историография Кодекса Наполеона обширна. Классические труды, такие как работы Р</w:t>
      </w:r>
      <w:r>
        <w:rPr>
          <w:rFonts w:ascii="Times New Roman" w:hAnsi="Times New Roman" w:cs="Times New Roman"/>
        </w:rPr>
        <w:t xml:space="preserve">ене </w:t>
      </w:r>
      <w:r w:rsidRPr="00E8215E">
        <w:rPr>
          <w:rFonts w:ascii="Times New Roman" w:hAnsi="Times New Roman" w:cs="Times New Roman"/>
        </w:rPr>
        <w:t xml:space="preserve">Давида, рассматривают его преимущественно как триумф буржуазной законности и фундамент континентальной правовой семьи. Советская историко-правовая наука (например, исследования </w:t>
      </w:r>
      <w:r w:rsidR="006449E7">
        <w:rPr>
          <w:rFonts w:ascii="Times New Roman" w:hAnsi="Times New Roman" w:cs="Times New Roman"/>
        </w:rPr>
        <w:t xml:space="preserve">Евгения </w:t>
      </w:r>
      <w:r w:rsidRPr="00E8215E">
        <w:rPr>
          <w:rFonts w:ascii="Times New Roman" w:hAnsi="Times New Roman" w:cs="Times New Roman"/>
        </w:rPr>
        <w:t>Б</w:t>
      </w:r>
      <w:r w:rsidR="006449E7">
        <w:rPr>
          <w:rFonts w:ascii="Times New Roman" w:hAnsi="Times New Roman" w:cs="Times New Roman"/>
        </w:rPr>
        <w:t>рониславовича</w:t>
      </w:r>
      <w:r w:rsidRPr="00E8215E">
        <w:rPr>
          <w:rFonts w:ascii="Times New Roman" w:hAnsi="Times New Roman" w:cs="Times New Roman"/>
        </w:rPr>
        <w:t xml:space="preserve"> Пашуканиса) акцентировала внимание на классовой природе кодекса, видя в нем инструмент защиты интересов буржуазии. Современные исследователи, в частности А</w:t>
      </w:r>
      <w:r w:rsidR="00E2134A">
        <w:rPr>
          <w:rFonts w:ascii="Times New Roman" w:hAnsi="Times New Roman" w:cs="Times New Roman"/>
        </w:rPr>
        <w:t xml:space="preserve">лександр </w:t>
      </w:r>
      <w:r w:rsidRPr="00E8215E">
        <w:rPr>
          <w:rFonts w:ascii="Times New Roman" w:hAnsi="Times New Roman" w:cs="Times New Roman"/>
        </w:rPr>
        <w:t>В</w:t>
      </w:r>
      <w:r w:rsidR="00E2134A">
        <w:rPr>
          <w:rFonts w:ascii="Times New Roman" w:hAnsi="Times New Roman" w:cs="Times New Roman"/>
        </w:rPr>
        <w:t>ладимирович</w:t>
      </w:r>
      <w:r w:rsidRPr="00E8215E">
        <w:rPr>
          <w:rFonts w:ascii="Times New Roman" w:hAnsi="Times New Roman" w:cs="Times New Roman"/>
        </w:rPr>
        <w:t xml:space="preserve"> Марей, анализируют кодекс в контексте антропологии права, отмечая его роль в формировании нового типа правосознания. Тем не менее, комплексный анализ Кодекса именно как механизма, не только провозглашающего, но и одновременно ограничивающего равенство, остается фрагментарным и требует дальнейшего изучения</w:t>
      </w:r>
      <w:r w:rsidR="00B34FDA">
        <w:rPr>
          <w:rFonts w:ascii="Times New Roman" w:hAnsi="Times New Roman" w:cs="Times New Roman"/>
        </w:rPr>
        <w:t xml:space="preserve"> </w:t>
      </w:r>
      <w:r w:rsidR="00B34FDA" w:rsidRPr="00B34FDA">
        <w:rPr>
          <w:rFonts w:ascii="Times New Roman" w:hAnsi="Times New Roman" w:cs="Times New Roman"/>
        </w:rPr>
        <w:t>[2</w:t>
      </w:r>
      <w:r w:rsidR="00B34FDA">
        <w:rPr>
          <w:rFonts w:ascii="Times New Roman" w:hAnsi="Times New Roman" w:cs="Times New Roman"/>
        </w:rPr>
        <w:t>, с. 156</w:t>
      </w:r>
      <w:r w:rsidR="00B34FDA" w:rsidRPr="00B34FDA">
        <w:rPr>
          <w:rFonts w:ascii="Times New Roman" w:hAnsi="Times New Roman" w:cs="Times New Roman"/>
        </w:rPr>
        <w:t>]</w:t>
      </w:r>
      <w:r w:rsidRPr="00E8215E">
        <w:rPr>
          <w:rFonts w:ascii="Times New Roman" w:hAnsi="Times New Roman" w:cs="Times New Roman"/>
        </w:rPr>
        <w:t>.</w:t>
      </w:r>
    </w:p>
    <w:p w14:paraId="2FD6F5F3" w14:textId="51D60511" w:rsidR="00E2134A" w:rsidRDefault="00D22A87" w:rsidP="00E044C0">
      <w:pPr>
        <w:adjustRightInd w:val="0"/>
        <w:snapToGrid w:val="0"/>
        <w:spacing w:after="0" w:line="240" w:lineRule="auto"/>
        <w:ind w:firstLine="709"/>
        <w:jc w:val="both"/>
        <w:rPr>
          <w:rFonts w:ascii="Times New Roman" w:hAnsi="Times New Roman" w:cs="Times New Roman"/>
        </w:rPr>
      </w:pPr>
      <w:r w:rsidRPr="00D22A87">
        <w:rPr>
          <w:rFonts w:ascii="Times New Roman" w:hAnsi="Times New Roman" w:cs="Times New Roman"/>
        </w:rPr>
        <w:t>Кодекс Наполеона, будучи прогрессивным для своего времени актом, закрепил не фактическое, а лишь формально-юридическое равенство. Сделав частную собственность «священной и неприкосновенной», кодекс создал непреодолимый барьер между теми, кто владел средствами производства (буржуазией), и теми, кто был вынужден продавать свою рабочую силу (пролетариатом). Свобода договора, декларируемая кодексом, на практике оборачивалась свободой экономически сильной стороны навязывать свои условия слабой. Отдельного внимания заслуживает закрепление неравенства по гендерному признаку. Статьи, устанавливающие подчиненное положение замужней женщины (необходимость разрешения мужа для совершения сделок, распоряжения имуществом), лишали ее экономической самостоятельности и отстраняли от активной общественной жизни [1</w:t>
      </w:r>
      <w:r w:rsidR="00B34FDA">
        <w:rPr>
          <w:rFonts w:ascii="Times New Roman" w:hAnsi="Times New Roman" w:cs="Times New Roman"/>
        </w:rPr>
        <w:t>, с. 478</w:t>
      </w:r>
      <w:r w:rsidRPr="00D22A87">
        <w:rPr>
          <w:rFonts w:ascii="Times New Roman" w:hAnsi="Times New Roman" w:cs="Times New Roman"/>
        </w:rPr>
        <w:t xml:space="preserve">]. Таким образом, Кодекс Наполеона выступил не просто как свод законов, а как мощный социальный регулятор, который, разрушив сословные перегородки старого режима, возвел новые </w:t>
      </w:r>
      <w:r w:rsidR="00E044C0">
        <w:rPr>
          <w:rFonts w:ascii="Times New Roman" w:hAnsi="Times New Roman" w:cs="Times New Roman"/>
        </w:rPr>
        <w:t>-</w:t>
      </w:r>
      <w:r w:rsidRPr="00D22A87">
        <w:rPr>
          <w:rFonts w:ascii="Times New Roman" w:hAnsi="Times New Roman" w:cs="Times New Roman"/>
        </w:rPr>
        <w:t xml:space="preserve"> классовые и патриархальные. Он юридически оформил и легитимировал социальное неравенство, присущее буржуазному обществу, превратив его из сословно-феодального в классово-капиталистическое.</w:t>
      </w:r>
    </w:p>
    <w:p w14:paraId="12CC9F27" w14:textId="554B1792" w:rsidR="00D22A87" w:rsidRDefault="008D4F67" w:rsidP="00E044C0">
      <w:pPr>
        <w:adjustRightInd w:val="0"/>
        <w:snapToGrid w:val="0"/>
        <w:spacing w:after="0" w:line="240" w:lineRule="auto"/>
        <w:ind w:firstLine="709"/>
        <w:jc w:val="both"/>
        <w:rPr>
          <w:rFonts w:ascii="Times New Roman" w:hAnsi="Times New Roman" w:cs="Times New Roman"/>
        </w:rPr>
      </w:pPr>
      <w:r w:rsidRPr="008D4F67">
        <w:rPr>
          <w:rFonts w:ascii="Times New Roman" w:hAnsi="Times New Roman" w:cs="Times New Roman"/>
        </w:rPr>
        <w:t>В заключение следует отметить, что изучение Кодекса Наполеона позволяет глубже понять механизмы, с помощью которых право может не только освобождать, но и закрепощать, создавая видимость всеобщего равенства при сохранении глубокого социального расслоения. Опыт Франции начала XIX века остается актуальным предостережением против формально-юридического подхода к правам человека, не подкрепленного реальными экономическими и социальными гарантиями.</w:t>
      </w:r>
    </w:p>
    <w:p w14:paraId="00AB3F0A" w14:textId="74B2FA02" w:rsidR="006805C5" w:rsidRPr="006805C5" w:rsidRDefault="006805C5" w:rsidP="00E044C0">
      <w:pPr>
        <w:adjustRightInd w:val="0"/>
        <w:snapToGrid w:val="0"/>
        <w:spacing w:after="0" w:line="240" w:lineRule="auto"/>
        <w:ind w:firstLine="709"/>
        <w:jc w:val="center"/>
        <w:rPr>
          <w:rFonts w:ascii="Times New Roman" w:hAnsi="Times New Roman" w:cs="Times New Roman"/>
          <w:b/>
          <w:bCs/>
        </w:rPr>
      </w:pPr>
      <w:r w:rsidRPr="006805C5">
        <w:rPr>
          <w:rFonts w:ascii="Times New Roman" w:hAnsi="Times New Roman" w:cs="Times New Roman"/>
          <w:b/>
          <w:bCs/>
        </w:rPr>
        <w:t>Список литературы</w:t>
      </w:r>
    </w:p>
    <w:p w14:paraId="449E1775" w14:textId="43AA1D3B" w:rsidR="006805C5" w:rsidRPr="00B34FDA" w:rsidRDefault="006805C5" w:rsidP="00B34FDA">
      <w:pPr>
        <w:pStyle w:val="a7"/>
        <w:numPr>
          <w:ilvl w:val="0"/>
          <w:numId w:val="1"/>
        </w:numPr>
        <w:adjustRightInd w:val="0"/>
        <w:snapToGrid w:val="0"/>
        <w:spacing w:after="0" w:line="240" w:lineRule="auto"/>
        <w:ind w:left="0" w:firstLine="709"/>
        <w:contextualSpacing w:val="0"/>
        <w:jc w:val="both"/>
        <w:rPr>
          <w:rFonts w:ascii="Times New Roman" w:hAnsi="Times New Roman" w:cs="Times New Roman"/>
        </w:rPr>
      </w:pPr>
      <w:r w:rsidRPr="00B34FDA">
        <w:rPr>
          <w:rFonts w:ascii="Times New Roman" w:hAnsi="Times New Roman" w:cs="Times New Roman"/>
        </w:rPr>
        <w:t xml:space="preserve">Гражданский кодекс Франции (Кодекс Наполеона) = Code </w:t>
      </w:r>
      <w:proofErr w:type="spellStart"/>
      <w:r w:rsidRPr="00B34FDA">
        <w:rPr>
          <w:rFonts w:ascii="Times New Roman" w:hAnsi="Times New Roman" w:cs="Times New Roman"/>
        </w:rPr>
        <w:t>civil</w:t>
      </w:r>
      <w:proofErr w:type="spellEnd"/>
      <w:r w:rsidRPr="00B34FDA">
        <w:rPr>
          <w:rFonts w:ascii="Times New Roman" w:hAnsi="Times New Roman" w:cs="Times New Roman"/>
        </w:rPr>
        <w:t xml:space="preserve"> </w:t>
      </w:r>
      <w:proofErr w:type="spellStart"/>
      <w:r w:rsidRPr="00B34FDA">
        <w:rPr>
          <w:rFonts w:ascii="Times New Roman" w:hAnsi="Times New Roman" w:cs="Times New Roman"/>
        </w:rPr>
        <w:t>des</w:t>
      </w:r>
      <w:proofErr w:type="spellEnd"/>
      <w:r w:rsidRPr="00B34FDA">
        <w:rPr>
          <w:rFonts w:ascii="Times New Roman" w:hAnsi="Times New Roman" w:cs="Times New Roman"/>
        </w:rPr>
        <w:t xml:space="preserve"> </w:t>
      </w:r>
      <w:proofErr w:type="spellStart"/>
      <w:r w:rsidRPr="00B34FDA">
        <w:rPr>
          <w:rFonts w:ascii="Times New Roman" w:hAnsi="Times New Roman" w:cs="Times New Roman"/>
        </w:rPr>
        <w:t>Français</w:t>
      </w:r>
      <w:proofErr w:type="spellEnd"/>
      <w:r w:rsidRPr="00B34FDA">
        <w:rPr>
          <w:rFonts w:ascii="Times New Roman" w:hAnsi="Times New Roman" w:cs="Times New Roman"/>
        </w:rPr>
        <w:t xml:space="preserve"> (Code </w:t>
      </w:r>
      <w:proofErr w:type="spellStart"/>
      <w:r w:rsidRPr="00B34FDA">
        <w:rPr>
          <w:rFonts w:ascii="Times New Roman" w:hAnsi="Times New Roman" w:cs="Times New Roman"/>
        </w:rPr>
        <w:t>Napoléon</w:t>
      </w:r>
      <w:proofErr w:type="spellEnd"/>
      <w:r w:rsidRPr="00B34FDA">
        <w:rPr>
          <w:rFonts w:ascii="Times New Roman" w:hAnsi="Times New Roman" w:cs="Times New Roman"/>
        </w:rPr>
        <w:t xml:space="preserve">) / пер. с фр. </w:t>
      </w:r>
      <w:r w:rsidR="00B34FDA" w:rsidRPr="00B34FDA">
        <w:rPr>
          <w:rFonts w:ascii="Times New Roman" w:hAnsi="Times New Roman" w:cs="Times New Roman"/>
        </w:rPr>
        <w:t>(</w:t>
      </w:r>
      <w:proofErr w:type="gramStart"/>
      <w:r w:rsidRPr="00B34FDA">
        <w:rPr>
          <w:rFonts w:ascii="Times New Roman" w:hAnsi="Times New Roman" w:cs="Times New Roman"/>
        </w:rPr>
        <w:t>В.Н.</w:t>
      </w:r>
      <w:proofErr w:type="gramEnd"/>
      <w:r w:rsidRPr="00B34FDA">
        <w:rPr>
          <w:rFonts w:ascii="Times New Roman" w:hAnsi="Times New Roman" w:cs="Times New Roman"/>
        </w:rPr>
        <w:t xml:space="preserve"> Захватае</w:t>
      </w:r>
      <w:r w:rsidR="00B34FDA" w:rsidRPr="00B34FDA">
        <w:rPr>
          <w:rFonts w:ascii="Times New Roman" w:hAnsi="Times New Roman" w:cs="Times New Roman"/>
        </w:rPr>
        <w:t>в)</w:t>
      </w:r>
      <w:r w:rsidRPr="00B34FDA">
        <w:rPr>
          <w:rFonts w:ascii="Times New Roman" w:hAnsi="Times New Roman" w:cs="Times New Roman"/>
        </w:rPr>
        <w:t xml:space="preserve">, предисл.: </w:t>
      </w:r>
      <w:proofErr w:type="gramStart"/>
      <w:r w:rsidRPr="00B34FDA">
        <w:rPr>
          <w:rFonts w:ascii="Times New Roman" w:hAnsi="Times New Roman" w:cs="Times New Roman"/>
        </w:rPr>
        <w:t>В.Н.</w:t>
      </w:r>
      <w:proofErr w:type="gramEnd"/>
      <w:r w:rsidRPr="00B34FDA">
        <w:rPr>
          <w:rFonts w:ascii="Times New Roman" w:hAnsi="Times New Roman" w:cs="Times New Roman"/>
        </w:rPr>
        <w:t xml:space="preserve"> Захватаев, А.П. </w:t>
      </w:r>
      <w:proofErr w:type="spellStart"/>
      <w:r w:rsidRPr="00B34FDA">
        <w:rPr>
          <w:rFonts w:ascii="Times New Roman" w:hAnsi="Times New Roman" w:cs="Times New Roman"/>
        </w:rPr>
        <w:t>Юдкин</w:t>
      </w:r>
      <w:proofErr w:type="spellEnd"/>
      <w:r w:rsidRPr="00B34FDA">
        <w:rPr>
          <w:rFonts w:ascii="Times New Roman" w:hAnsi="Times New Roman" w:cs="Times New Roman"/>
        </w:rPr>
        <w:t xml:space="preserve">, прил.: </w:t>
      </w:r>
      <w:proofErr w:type="gramStart"/>
      <w:r w:rsidRPr="00B34FDA">
        <w:rPr>
          <w:rFonts w:ascii="Times New Roman" w:hAnsi="Times New Roman" w:cs="Times New Roman"/>
        </w:rPr>
        <w:t>В.Н.</w:t>
      </w:r>
      <w:proofErr w:type="gramEnd"/>
      <w:r w:rsidRPr="00B34FDA">
        <w:rPr>
          <w:rFonts w:ascii="Times New Roman" w:hAnsi="Times New Roman" w:cs="Times New Roman"/>
        </w:rPr>
        <w:t xml:space="preserve"> Захватаев. – М.: </w:t>
      </w:r>
      <w:proofErr w:type="spellStart"/>
      <w:r w:rsidRPr="00B34FDA">
        <w:rPr>
          <w:rFonts w:ascii="Times New Roman" w:hAnsi="Times New Roman" w:cs="Times New Roman"/>
        </w:rPr>
        <w:t>ЮрИнфоР</w:t>
      </w:r>
      <w:proofErr w:type="spellEnd"/>
      <w:r w:rsidRPr="00B34FDA">
        <w:rPr>
          <w:rFonts w:ascii="Times New Roman" w:hAnsi="Times New Roman" w:cs="Times New Roman"/>
        </w:rPr>
        <w:t>, 2014. – 622 с.</w:t>
      </w:r>
    </w:p>
    <w:p w14:paraId="30130201" w14:textId="01143DE4" w:rsidR="008D4F67" w:rsidRPr="00B34FDA" w:rsidRDefault="00B34FDA" w:rsidP="00B34FDA">
      <w:pPr>
        <w:pStyle w:val="a7"/>
        <w:numPr>
          <w:ilvl w:val="0"/>
          <w:numId w:val="1"/>
        </w:numPr>
        <w:adjustRightInd w:val="0"/>
        <w:snapToGrid w:val="0"/>
        <w:spacing w:after="0" w:line="240" w:lineRule="auto"/>
        <w:ind w:left="0" w:firstLine="709"/>
        <w:contextualSpacing w:val="0"/>
        <w:jc w:val="both"/>
        <w:rPr>
          <w:rFonts w:ascii="Times New Roman" w:hAnsi="Times New Roman" w:cs="Times New Roman"/>
        </w:rPr>
      </w:pPr>
      <w:r w:rsidRPr="00B34FDA">
        <w:rPr>
          <w:rFonts w:ascii="Times New Roman" w:hAnsi="Times New Roman" w:cs="Times New Roman"/>
        </w:rPr>
        <w:lastRenderedPageBreak/>
        <w:t xml:space="preserve">Давид Р., </w:t>
      </w:r>
      <w:proofErr w:type="spellStart"/>
      <w:r w:rsidRPr="00B34FDA">
        <w:rPr>
          <w:rFonts w:ascii="Times New Roman" w:hAnsi="Times New Roman" w:cs="Times New Roman"/>
        </w:rPr>
        <w:t>Жоффре-Спинози</w:t>
      </w:r>
      <w:proofErr w:type="spellEnd"/>
      <w:r w:rsidRPr="00B34FDA">
        <w:rPr>
          <w:rFonts w:ascii="Times New Roman" w:hAnsi="Times New Roman" w:cs="Times New Roman"/>
        </w:rPr>
        <w:t xml:space="preserve"> К. Основные правовые системы современности = Les </w:t>
      </w:r>
      <w:proofErr w:type="spellStart"/>
      <w:r w:rsidRPr="00B34FDA">
        <w:rPr>
          <w:rFonts w:ascii="Times New Roman" w:hAnsi="Times New Roman" w:cs="Times New Roman"/>
        </w:rPr>
        <w:t>grands</w:t>
      </w:r>
      <w:proofErr w:type="spellEnd"/>
      <w:r w:rsidRPr="00B34FDA">
        <w:rPr>
          <w:rFonts w:ascii="Times New Roman" w:hAnsi="Times New Roman" w:cs="Times New Roman"/>
        </w:rPr>
        <w:t xml:space="preserve"> </w:t>
      </w:r>
      <w:proofErr w:type="spellStart"/>
      <w:r w:rsidRPr="00B34FDA">
        <w:rPr>
          <w:rFonts w:ascii="Times New Roman" w:hAnsi="Times New Roman" w:cs="Times New Roman"/>
        </w:rPr>
        <w:t>systemes</w:t>
      </w:r>
      <w:proofErr w:type="spellEnd"/>
      <w:r w:rsidRPr="00B34FDA">
        <w:rPr>
          <w:rFonts w:ascii="Times New Roman" w:hAnsi="Times New Roman" w:cs="Times New Roman"/>
        </w:rPr>
        <w:t xml:space="preserve"> </w:t>
      </w:r>
      <w:proofErr w:type="spellStart"/>
      <w:r w:rsidRPr="00B34FDA">
        <w:rPr>
          <w:rFonts w:ascii="Times New Roman" w:hAnsi="Times New Roman" w:cs="Times New Roman"/>
        </w:rPr>
        <w:t>de</w:t>
      </w:r>
      <w:proofErr w:type="spellEnd"/>
      <w:r w:rsidRPr="00B34FDA">
        <w:rPr>
          <w:rFonts w:ascii="Times New Roman" w:hAnsi="Times New Roman" w:cs="Times New Roman"/>
        </w:rPr>
        <w:t xml:space="preserve"> </w:t>
      </w:r>
      <w:proofErr w:type="spellStart"/>
      <w:r w:rsidRPr="00B34FDA">
        <w:rPr>
          <w:rFonts w:ascii="Times New Roman" w:hAnsi="Times New Roman" w:cs="Times New Roman"/>
        </w:rPr>
        <w:t>droit</w:t>
      </w:r>
      <w:proofErr w:type="spellEnd"/>
      <w:r w:rsidRPr="00B34FDA">
        <w:rPr>
          <w:rFonts w:ascii="Times New Roman" w:hAnsi="Times New Roman" w:cs="Times New Roman"/>
        </w:rPr>
        <w:t xml:space="preserve"> </w:t>
      </w:r>
      <w:proofErr w:type="spellStart"/>
      <w:r w:rsidRPr="00B34FDA">
        <w:rPr>
          <w:rFonts w:ascii="Times New Roman" w:hAnsi="Times New Roman" w:cs="Times New Roman"/>
        </w:rPr>
        <w:t>contemporains</w:t>
      </w:r>
      <w:proofErr w:type="spellEnd"/>
      <w:r w:rsidRPr="00B34FDA">
        <w:rPr>
          <w:rFonts w:ascii="Times New Roman" w:hAnsi="Times New Roman" w:cs="Times New Roman"/>
        </w:rPr>
        <w:t xml:space="preserve"> / пер. с фр. </w:t>
      </w:r>
      <w:proofErr w:type="gramStart"/>
      <w:r w:rsidRPr="00B34FDA">
        <w:rPr>
          <w:rFonts w:ascii="Times New Roman" w:hAnsi="Times New Roman" w:cs="Times New Roman"/>
        </w:rPr>
        <w:t>В.А.</w:t>
      </w:r>
      <w:proofErr w:type="gramEnd"/>
      <w:r w:rsidRPr="00B34FDA">
        <w:rPr>
          <w:rFonts w:ascii="Times New Roman" w:hAnsi="Times New Roman" w:cs="Times New Roman"/>
        </w:rPr>
        <w:t xml:space="preserve"> Туманова. – М.: Международные отношения, 2009. – 456 с.</w:t>
      </w:r>
    </w:p>
    <w:sectPr w:rsidR="008D4F67" w:rsidRPr="00B34FDA" w:rsidSect="00E044C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03CFF"/>
    <w:multiLevelType w:val="hybridMultilevel"/>
    <w:tmpl w:val="CBD08A1A"/>
    <w:lvl w:ilvl="0" w:tplc="B18004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4275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B06"/>
    <w:rsid w:val="000A27D7"/>
    <w:rsid w:val="002046E7"/>
    <w:rsid w:val="002862BB"/>
    <w:rsid w:val="002A2B06"/>
    <w:rsid w:val="002B0371"/>
    <w:rsid w:val="002B40DE"/>
    <w:rsid w:val="00316CA2"/>
    <w:rsid w:val="003269D8"/>
    <w:rsid w:val="003E1A0C"/>
    <w:rsid w:val="0052511F"/>
    <w:rsid w:val="005E1886"/>
    <w:rsid w:val="006106E5"/>
    <w:rsid w:val="006449E7"/>
    <w:rsid w:val="006805C5"/>
    <w:rsid w:val="006B2651"/>
    <w:rsid w:val="00847852"/>
    <w:rsid w:val="008B0184"/>
    <w:rsid w:val="008D4F67"/>
    <w:rsid w:val="009A6D76"/>
    <w:rsid w:val="00B34FDA"/>
    <w:rsid w:val="00BB4570"/>
    <w:rsid w:val="00C83276"/>
    <w:rsid w:val="00CB5153"/>
    <w:rsid w:val="00D04E02"/>
    <w:rsid w:val="00D22A87"/>
    <w:rsid w:val="00D6579B"/>
    <w:rsid w:val="00DF19C9"/>
    <w:rsid w:val="00E044C0"/>
    <w:rsid w:val="00E2134A"/>
    <w:rsid w:val="00E64B71"/>
    <w:rsid w:val="00E8215E"/>
    <w:rsid w:val="00F51CD9"/>
    <w:rsid w:val="00F959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15DC8"/>
  <w15:chartTrackingRefBased/>
  <w15:docId w15:val="{DB6E357D-1D67-FF45-ABC0-EF9E6C30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A2B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A2B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A2B0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A2B0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A2B0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A2B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A2B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2B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A2B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B0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A2B0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A2B0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A2B0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A2B0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A2B0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A2B06"/>
    <w:rPr>
      <w:rFonts w:eastAsiaTheme="majorEastAsia" w:cstheme="majorBidi"/>
      <w:color w:val="595959" w:themeColor="text1" w:themeTint="A6"/>
    </w:rPr>
  </w:style>
  <w:style w:type="character" w:customStyle="1" w:styleId="80">
    <w:name w:val="Заголовок 8 Знак"/>
    <w:basedOn w:val="a0"/>
    <w:link w:val="8"/>
    <w:uiPriority w:val="9"/>
    <w:semiHidden/>
    <w:rsid w:val="002A2B0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A2B06"/>
    <w:rPr>
      <w:rFonts w:eastAsiaTheme="majorEastAsia" w:cstheme="majorBidi"/>
      <w:color w:val="272727" w:themeColor="text1" w:themeTint="D8"/>
    </w:rPr>
  </w:style>
  <w:style w:type="paragraph" w:styleId="a3">
    <w:name w:val="Title"/>
    <w:basedOn w:val="a"/>
    <w:next w:val="a"/>
    <w:link w:val="a4"/>
    <w:uiPriority w:val="10"/>
    <w:qFormat/>
    <w:rsid w:val="002A2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A2B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B0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A2B0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A2B06"/>
    <w:pPr>
      <w:spacing w:before="160"/>
      <w:jc w:val="center"/>
    </w:pPr>
    <w:rPr>
      <w:i/>
      <w:iCs/>
      <w:color w:val="404040" w:themeColor="text1" w:themeTint="BF"/>
    </w:rPr>
  </w:style>
  <w:style w:type="character" w:customStyle="1" w:styleId="22">
    <w:name w:val="Цитата 2 Знак"/>
    <w:basedOn w:val="a0"/>
    <w:link w:val="21"/>
    <w:uiPriority w:val="29"/>
    <w:rsid w:val="002A2B06"/>
    <w:rPr>
      <w:i/>
      <w:iCs/>
      <w:color w:val="404040" w:themeColor="text1" w:themeTint="BF"/>
    </w:rPr>
  </w:style>
  <w:style w:type="paragraph" w:styleId="a7">
    <w:name w:val="List Paragraph"/>
    <w:basedOn w:val="a"/>
    <w:uiPriority w:val="34"/>
    <w:qFormat/>
    <w:rsid w:val="002A2B06"/>
    <w:pPr>
      <w:ind w:left="720"/>
      <w:contextualSpacing/>
    </w:pPr>
  </w:style>
  <w:style w:type="character" w:styleId="a8">
    <w:name w:val="Intense Emphasis"/>
    <w:basedOn w:val="a0"/>
    <w:uiPriority w:val="21"/>
    <w:qFormat/>
    <w:rsid w:val="002A2B06"/>
    <w:rPr>
      <w:i/>
      <w:iCs/>
      <w:color w:val="2F5496" w:themeColor="accent1" w:themeShade="BF"/>
    </w:rPr>
  </w:style>
  <w:style w:type="paragraph" w:styleId="a9">
    <w:name w:val="Intense Quote"/>
    <w:basedOn w:val="a"/>
    <w:next w:val="a"/>
    <w:link w:val="aa"/>
    <w:uiPriority w:val="30"/>
    <w:qFormat/>
    <w:rsid w:val="002A2B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A2B06"/>
    <w:rPr>
      <w:i/>
      <w:iCs/>
      <w:color w:val="2F5496" w:themeColor="accent1" w:themeShade="BF"/>
    </w:rPr>
  </w:style>
  <w:style w:type="character" w:styleId="ab">
    <w:name w:val="Intense Reference"/>
    <w:basedOn w:val="a0"/>
    <w:uiPriority w:val="32"/>
    <w:qFormat/>
    <w:rsid w:val="002A2B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574</Words>
  <Characters>3273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Gdth Prrtt</dc:creator>
  <cp:keywords/>
  <dc:description/>
  <cp:lastModifiedBy>Азамат Читаов</cp:lastModifiedBy>
  <cp:revision>8</cp:revision>
  <dcterms:created xsi:type="dcterms:W3CDTF">2026-03-15T18:00:00Z</dcterms:created>
  <dcterms:modified xsi:type="dcterms:W3CDTF">2026-03-31T18:29:00Z</dcterms:modified>
</cp:coreProperties>
</file>