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7339" w14:textId="50EFD02B" w:rsidR="009C15AD" w:rsidRDefault="009C15AD" w:rsidP="009C1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актуальность_исследования"/>
      <w:r w:rsidRPr="009C1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ВОЗМОЖНОСТИ ТУРИСТСКО-РЕКРЕАЦИОННОГО КОМПЛЕКСА РЕСПУБЛИКИ АДЫГЕЯ ДЛЯ СОЗДАНИЯ НОВОГО ТЕМАТИЧЕСКОГО ПАРКА</w:t>
      </w:r>
    </w:p>
    <w:p w14:paraId="1B11F0D1" w14:textId="77777777" w:rsidR="009C15AD" w:rsidRPr="009C15AD" w:rsidRDefault="009C15AD" w:rsidP="009C15AD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E5A563" w14:textId="77777777" w:rsidR="009C15AD" w:rsidRPr="009C15AD" w:rsidRDefault="009C15AD" w:rsidP="009C15A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9C1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Абреч</w:t>
      </w:r>
      <w:proofErr w:type="spellEnd"/>
      <w:r w:rsidRPr="009C1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Джульетта Руслановна</w:t>
      </w:r>
    </w:p>
    <w:p w14:paraId="500692DE" w14:textId="77777777" w:rsidR="009C15AD" w:rsidRPr="00110D6B" w:rsidRDefault="009C15AD" w:rsidP="009C15A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Адыгейский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государственный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университет»,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Майкоп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273D2890" w14:textId="77777777" w:rsidR="009C15AD" w:rsidRPr="00110D6B" w:rsidRDefault="009C15AD" w:rsidP="009C15A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Научный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руководитель: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Ожева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С.Б.,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к.с.н</w:t>
      </w:r>
      <w:proofErr w:type="spellEnd"/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доцент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7049F4F3" w14:textId="77777777" w:rsidR="009C15AD" w:rsidRDefault="009C15AD" w:rsidP="009C15AD">
      <w:pPr>
        <w:spacing w:after="0" w:line="240" w:lineRule="auto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Адыгейский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государственный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университет»,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Майкоп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4A5EC547" w14:textId="49A1311B" w:rsidR="009C15AD" w:rsidRPr="009C15AD" w:rsidRDefault="009C15AD" w:rsidP="009C15A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C15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05197CE" w14:textId="345F27E8" w:rsidR="003E7F0E" w:rsidRPr="00A34A55" w:rsidRDefault="00FE345A" w:rsidP="0041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Актуальность исследования</w:t>
      </w:r>
      <w:bookmarkEnd w:id="0"/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Туристско‑рекреационный комплекс Республики Адыгея традиционно ассоции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руется с горными и предгорными территориями (</w:t>
      </w:r>
      <w:proofErr w:type="spellStart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Лаго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накское</w:t>
      </w:r>
      <w:proofErr w:type="spellEnd"/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нагорье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, 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Кавказский биосферный заповедник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, 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водопады, ущелья, </w:t>
      </w:r>
      <w:proofErr w:type="spellStart"/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коньоны</w:t>
      </w:r>
      <w:proofErr w:type="spellEnd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и горные тропы), где сосредоточена основная масса туристских объектов и 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туристской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инфраструктуры. В то же время равнинная часть республики остаётся относительно </w:t>
      </w:r>
      <w:proofErr w:type="spellStart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недозагруженной</w:t>
      </w:r>
      <w:proofErr w:type="spellEnd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в турис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тском плане, несмотря на наличие благоприятных климатических условий, развитой транспортной сети и приграничного положения, что делает её перспективной площадкой для нового типа рекреационных объектов — тематических парков</w:t>
      </w:r>
      <w:r w:rsidR="00A34A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A34A55" w:rsidRPr="00A34A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 w:rsidR="00860645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1, 4</w:t>
      </w:r>
      <w:r w:rsidR="00A34A55" w:rsidRPr="00A34A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].</w:t>
      </w:r>
    </w:p>
    <w:p w14:paraId="35399D0B" w14:textId="275458C8" w:rsidR="003E7F0E" w:rsidRPr="00413997" w:rsidRDefault="00FE345A" w:rsidP="0041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Актуальность темы усиливается в контексте региональной политики развития событийного и семейного туризма, расширения </w:t>
      </w:r>
      <w:proofErr w:type="spellStart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всесезонности</w:t>
      </w:r>
      <w:proofErr w:type="spellEnd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и диверсификации предложений за пределами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горной зоны. Создание тематического парка в равнинной части может стать элементом сбалансированного территориального развития </w:t>
      </w:r>
      <w:r w:rsidR="00860645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туристско‑рекреационного комплекса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 и снизить нагрузку на экосистемы горных и предгорных территорий</w:t>
      </w:r>
      <w:r w:rsidR="00860645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[2]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1" w:name="fnref5"/>
      <w:bookmarkEnd w:id="1"/>
      <w:r w:rsidR="00860645" w:rsidRPr="004139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866F79" w14:textId="744558AE" w:rsidR="003E7F0E" w:rsidRPr="00860645" w:rsidRDefault="00FE345A" w:rsidP="0041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Целью исследования является выявление и систематизация возможностей туристско‑рекреационного комплекса Республики Адыгея для размещения и функционирования нового тематического парка в равнинной части ре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гиона, а также определение базовых условий его успешной интеграции в региональную туристическую систему.</w:t>
      </w:r>
      <w:bookmarkStart w:id="2" w:name="fnref2_3"/>
      <w:bookmarkEnd w:id="2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6F62CC" w14:textId="6DD50A8B" w:rsidR="003E7F0E" w:rsidRPr="00860645" w:rsidRDefault="00FE345A" w:rsidP="0041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Для достижения цели 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нами были решены 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следующие задачи:</w:t>
      </w:r>
    </w:p>
    <w:p w14:paraId="6F2E3740" w14:textId="66B3740C" w:rsidR="003E7F0E" w:rsidRPr="00413997" w:rsidRDefault="00860645" w:rsidP="0086064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ана характеристика</w:t>
      </w:r>
      <w:r w:rsidR="00FE345A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FE345A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ресурсн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ой</w:t>
      </w:r>
      <w:r w:rsidR="00FE345A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баз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ы</w:t>
      </w:r>
      <w:r w:rsidR="00FE345A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и структур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</w:t>
      </w:r>
      <w:r w:rsidR="00FE345A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туристско‑рекреационного комплекса Адыгеи с акцентом на равнинные территории;</w:t>
      </w:r>
      <w:bookmarkStart w:id="3" w:name="fnref1_4"/>
      <w:bookmarkEnd w:id="3"/>
      <w:r w:rsidRPr="004139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0A77ED" w14:textId="4A9FD527" w:rsidR="003E7F0E" w:rsidRPr="00413997" w:rsidRDefault="00FE345A" w:rsidP="0086064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выяв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лены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преимущества создания тематического парка в равнинной части (климат, транспортная дос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тупность, близость к крупным населённым пунктам и курортным центрам);</w:t>
      </w:r>
      <w:bookmarkStart w:id="4" w:name="fnref6"/>
      <w:bookmarkEnd w:id="4"/>
      <w:r w:rsidR="00860645" w:rsidRPr="004139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5DF243" w14:textId="77777777" w:rsidR="00860645" w:rsidRPr="00860645" w:rsidRDefault="00FE345A" w:rsidP="0086064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проанализирова</w:t>
      </w:r>
      <w:r w:rsidR="00413997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уже реализуемые и планируемые рекреационные проекты (</w:t>
      </w:r>
      <w:proofErr w:type="spellStart"/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этнопарки</w:t>
      </w:r>
      <w:proofErr w:type="spellEnd"/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экотропы</w:t>
      </w:r>
      <w:proofErr w:type="spellEnd"/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 парковые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зоны, городские 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парки‑рекреационные зоны) как аналоги и точки опоры для нового тематического парка;</w:t>
      </w:r>
      <w:bookmarkStart w:id="5" w:name="fnref7"/>
      <w:bookmarkEnd w:id="5"/>
    </w:p>
    <w:p w14:paraId="2A71A088" w14:textId="46D31AAE" w:rsidR="003E7F0E" w:rsidRPr="00FE345A" w:rsidRDefault="00FE345A" w:rsidP="0086064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сформулирова</w:t>
      </w:r>
      <w:r w:rsidR="00413997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рекомендации по типологии, целевой аудитории и функциональному наполнению тематического парка, ориентированного на семейный, образовательный и событийный туризм.</w:t>
      </w:r>
      <w:bookmarkStart w:id="6" w:name="fnref3_6"/>
      <w:bookmarkEnd w:id="6"/>
      <w:r w:rsidRPr="00FE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450AFA" w14:textId="3F7008F6" w:rsidR="003E7F0E" w:rsidRPr="00413997" w:rsidRDefault="00413997" w:rsidP="00413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возможности_трк_адыгеи_для_темати_abaafa"/>
      <w:r>
        <w:rPr>
          <w:rFonts w:ascii="Times New Roman" w:hAnsi="Times New Roman" w:cs="Times New Roman"/>
          <w:noProof/>
          <w:sz w:val="28"/>
          <w:szCs w:val="28"/>
          <w:lang w:val="ru-RU"/>
        </w:rPr>
        <w:t>Результаты проведенного исследвоания позволили выявить в</w:t>
      </w:r>
      <w:r w:rsidR="00860645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возможности</w:t>
      </w:r>
      <w:r w:rsid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развития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туристско-рекреационного комплекса </w:t>
      </w:r>
      <w:r w:rsidR="00FE345A"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Адыгеи для тематического парка</w:t>
      </w:r>
      <w:bookmarkEnd w:id="7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:</w:t>
      </w:r>
    </w:p>
    <w:p w14:paraId="51C30CE2" w14:textId="5C3D6E21" w:rsidR="003E7F0E" w:rsidRPr="00860645" w:rsidRDefault="00FE345A" w:rsidP="004139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Пространственно‑климатический потенциал равнинной части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Равнинная часть Адыгеи располагается в переходной зоне между горами и предгорьями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 имеет мягкий климат, большую часть года с комфортом для пешеходного и пляжного туризма, а также достаточную продолжительность безморозного периода для развития круглогодичного паркового отдыха. Наличие лесопарковых зон, пригородных и городских парков (на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пример, благоустраиваемые лесопарковые зоны в Адыгейске и Майкопе) показывает, что уже существуют элементы компактной рекреационной инфраструктуры, которые можно развивать в формате тематического парка.</w:t>
      </w:r>
      <w:bookmarkStart w:id="8" w:name="fnref6_2"/>
      <w:bookmarkEnd w:id="8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D221E1" w14:textId="6E7E64F1" w:rsidR="003E7F0E" w:rsidRPr="00860645" w:rsidRDefault="00FE345A" w:rsidP="004139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Транспортная доступность и близость к рынкам спроса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Равнинная часть республики находится в радиусе 30–60 минут езды от крупнейших туристских центров региона (Майкоп, Адыгейск, Анапа, Краснодарский край по трассе М‑4), что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обеспечивает высокую доступность для как местных, так и транзитных туристов. Это создаёт предпосылки для позиционирования тематического парка как «дополнительного» или «дочернего» объекта к основному горному туризму, а также как самостоятельного центра сем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ейного и дневного отдыха.</w:t>
      </w:r>
      <w:bookmarkStart w:id="9" w:name="fnref5_2"/>
      <w:bookmarkEnd w:id="9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6A7E2C" w14:textId="71E45BEE" w:rsidR="003E7F0E" w:rsidRPr="00860645" w:rsidRDefault="00FE345A" w:rsidP="004139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Опыт реализации рекреационных и событийных проектов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 Адыгее уже реализуются масштабные рекреационные проекты (</w:t>
      </w:r>
      <w:proofErr w:type="spellStart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этнопарк</w:t>
      </w:r>
      <w:proofErr w:type="spellEnd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Дегуакская</w:t>
      </w:r>
      <w:proofErr w:type="spellEnd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поляна», </w:t>
      </w:r>
      <w:proofErr w:type="spellStart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эк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окурорт</w:t>
      </w:r>
      <w:proofErr w:type="spellEnd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Лагонаки</w:t>
      </w:r>
      <w:proofErr w:type="spellEnd"/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», благоустройство городских и пригородных парков) и активно развивается событийный туризм, включая фестивали, ярмарки и тематические мероприятия. Опыт этих проектов позволяет использовать готовые схемы управления потоками, организации инф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раструктуры и монетизации услуг (кафе, аренда, экскурсии, торговые точки) при проектировании тематического парка в равнинной части.</w:t>
      </w:r>
      <w:bookmarkStart w:id="10" w:name="fnref4_2"/>
      <w:bookmarkEnd w:id="10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7711C3" w14:textId="19CD6293" w:rsidR="003E7F0E" w:rsidRPr="00860645" w:rsidRDefault="00FE345A" w:rsidP="004139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Свободные и малоосвоенные рекреационные площади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Рекреационное районирование территории республики отмечает, что в равнинной зоне значительные площади заняты сельхоз‑ и лесопарковыми угодьями, но при этом туристическая инфраструк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тура здесь развита слабее, чем в горах. Это создаёт возможность выбора площадок с минимальным уровнем конфликта с природоохранной и сельскохозяйственной деятельностью, при условии грамотного зонирования и экологического сопровождения.</w:t>
      </w:r>
      <w:bookmarkStart w:id="11" w:name="fnref2_7"/>
      <w:bookmarkEnd w:id="11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4F12D05" w14:textId="5F4841A8" w:rsidR="003E7F0E" w:rsidRPr="00860645" w:rsidRDefault="00FE345A" w:rsidP="004139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Сочетание природных и культурных элементов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Равнинная часть Адыгеи дополняет горный туризм рядом уникальных объектов: лесопарковые массивы, долины рек, элементы историко‑культурного ландшафта (памятники архитектуры, святыни, музейные экспозиции на открытом воздухе). Тематический парк может использов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ать эти элементы, формируя сценарии типа «парк‑музей», «историко‑этнокультурный парк», «природно‑образовательный парк», что соответствует современным тенденциям экологического и инклюзивного туризма</w:t>
      </w:r>
      <w:r w:rsid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60645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 w:rsid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1, 3, 4, 5</w:t>
      </w:r>
      <w:r w:rsidR="00860645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12" w:name="fnref7_1"/>
      <w:bookmarkEnd w:id="12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C9E094" w14:textId="64304919" w:rsidR="00413997" w:rsidRPr="00413997" w:rsidRDefault="00413997" w:rsidP="00413997">
      <w:pPr>
        <w:spacing w:after="0" w:line="240" w:lineRule="auto"/>
        <w:ind w:left="709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Таким образом можно сделать следующие выводы:</w:t>
      </w:r>
    </w:p>
    <w:p w14:paraId="37D36783" w14:textId="46C50F37" w:rsidR="003E7F0E" w:rsidRPr="00860645" w:rsidRDefault="00FE345A" w:rsidP="0041399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</w:t>
      </w:r>
      <w:r w:rsid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уристско-рекреационный комплекс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Адыгеи имеет неиспользованный потенциал для развития рекреационных объектов в равн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инной части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 где сочетаются благоприятный климат, транспортная доступность и относительно низкая концентрация крупных туристских объектов. Создание тематического парка в этой зоне может способствовать сбалансированному распределению туристских потоков межд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у горной и равнинной территорией.</w:t>
      </w:r>
      <w:bookmarkStart w:id="13" w:name="fnref3_10"/>
      <w:bookmarkEnd w:id="13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36D2DF" w14:textId="3FB22212" w:rsidR="003E7F0E" w:rsidRPr="00860645" w:rsidRDefault="00FE345A" w:rsidP="0041399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Наличие уже благоустраиваемых лесопарковых и городских рекреационных зон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(Майкоп, Адыгейск и др.) даёт возможность использовать существующую инфраструктуру и институциональные практики для быстрого запуска и модернизации тематического парка. Это позволяет 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снизить первоначальные капитальные затраты и использовать принцип «точечного развития» уже освоенных пространств.</w:t>
      </w:r>
      <w:bookmarkStart w:id="14" w:name="fnref5_5"/>
      <w:bookmarkEnd w:id="14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6449D64" w14:textId="4F4B0023" w:rsidR="003E7F0E" w:rsidRPr="00860645" w:rsidRDefault="00FE345A" w:rsidP="0041399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Тематический парк в равнинной части целесообразно ориен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тировать на семейный, образовательный и событийный туризм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 сочетая элементы экологического просвещения, развлекательно‑игровых площадок и культурно‑исторического контента. Такой формат будет органично дополнять действующие горные проекты и расширять сезонн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ость регионального туризма.</w:t>
      </w:r>
      <w:bookmarkStart w:id="15" w:name="fnref4_3"/>
      <w:bookmarkEnd w:id="15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156B9C8" w14:textId="77777777" w:rsidR="003E7F0E" w:rsidRPr="00413997" w:rsidRDefault="00FE345A" w:rsidP="0041399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 успешной реализации проекта требуется комплексный подход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:</w:t>
      </w:r>
    </w:p>
    <w:p w14:paraId="4721E6D4" w14:textId="77777777" w:rsidR="003E7F0E" w:rsidRPr="00413997" w:rsidRDefault="00FE345A" w:rsidP="004139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рекреационное и экологическое обоснование выбора п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лощадки;</w:t>
      </w:r>
    </w:p>
    <w:p w14:paraId="7AA11D31" w14:textId="77777777" w:rsidR="003E7F0E" w:rsidRPr="00413997" w:rsidRDefault="00FE345A" w:rsidP="004139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интеграция с региональными маршрутами и цифровыми сервисами (онлайн‑бронирование, навигация, пакетные туры);</w:t>
      </w:r>
    </w:p>
    <w:p w14:paraId="11E9DA43" w14:textId="14AA4FAC" w:rsidR="003E7F0E" w:rsidRPr="00860645" w:rsidRDefault="00FE345A" w:rsidP="004139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привлечение инвесторов и местных предприятий через режим «масштабного инвестпроекта» или аналогичные механизмы стимулирования</w:t>
      </w:r>
      <w:r w:rsid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860645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 w:rsid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1, 2, 3</w:t>
      </w:r>
      <w:r w:rsidR="00860645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16" w:name="fnref8"/>
      <w:bookmarkEnd w:id="16"/>
      <w:r w:rsidR="00860645" w:rsidRPr="00860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D117F2" w14:textId="6763EB54" w:rsidR="00413997" w:rsidRPr="00413997" w:rsidRDefault="00413997" w:rsidP="00413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51E"/>
          <w:sz w:val="28"/>
          <w:szCs w:val="28"/>
          <w:lang w:val="ru-RU"/>
        </w:rPr>
      </w:pPr>
      <w:r w:rsidRPr="00413997">
        <w:rPr>
          <w:rFonts w:ascii="Times New Roman" w:hAnsi="Times New Roman" w:cs="Times New Roman"/>
          <w:color w:val="27251E"/>
          <w:sz w:val="28"/>
          <w:szCs w:val="28"/>
          <w:lang w:val="ru-RU"/>
        </w:rPr>
        <w:t xml:space="preserve">В равнинной части Республики Адыгея тематический парк можно привязать к нескольким устойчивым и </w:t>
      </w:r>
      <w:r w:rsidR="00860645">
        <w:rPr>
          <w:rFonts w:ascii="Times New Roman" w:hAnsi="Times New Roman" w:cs="Times New Roman"/>
          <w:color w:val="27251E"/>
          <w:sz w:val="28"/>
          <w:szCs w:val="28"/>
          <w:lang w:val="ru-RU"/>
        </w:rPr>
        <w:t>востребованным</w:t>
      </w:r>
      <w:r w:rsidRPr="00413997">
        <w:rPr>
          <w:rFonts w:ascii="Times New Roman" w:hAnsi="Times New Roman" w:cs="Times New Roman"/>
          <w:color w:val="27251E"/>
          <w:sz w:val="28"/>
          <w:szCs w:val="28"/>
          <w:lang w:val="ru-RU"/>
        </w:rPr>
        <w:t xml:space="preserve"> в регионе смысловым осям, которые сочетают природу, культуру, здоровье и образовательные элементы.</w:t>
      </w:r>
      <w:r>
        <w:rPr>
          <w:rFonts w:ascii="Times New Roman" w:hAnsi="Times New Roman" w:cs="Times New Roman"/>
          <w:color w:val="27251E"/>
          <w:sz w:val="28"/>
          <w:szCs w:val="28"/>
          <w:lang w:val="ru-RU"/>
        </w:rPr>
        <w:t xml:space="preserve"> Нами предложены следующие варианты проектов тематических парков:</w:t>
      </w:r>
    </w:p>
    <w:p w14:paraId="64B06E9B" w14:textId="7F47F471" w:rsidR="00413997" w:rsidRPr="00413997" w:rsidRDefault="00413997" w:rsidP="0041399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lastRenderedPageBreak/>
        <w:t>1.</w:t>
      </w:r>
      <w:r w:rsidRPr="00413997"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 xml:space="preserve"> </w:t>
      </w:r>
      <w:proofErr w:type="spellStart"/>
      <w:r w:rsidRPr="00413997"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>Агротуристский</w:t>
      </w:r>
      <w:proofErr w:type="spellEnd"/>
      <w:r w:rsidRPr="00413997"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noBreakHyphen/>
        <w:t>гастрономический парк «Вкус</w:t>
      </w:r>
      <w:r w:rsidR="00860645"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>ы</w:t>
      </w:r>
      <w:r w:rsidRPr="00413997"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 xml:space="preserve"> Адыгеи»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 xml:space="preserve"> - </w:t>
      </w:r>
      <w:r w:rsidRPr="00413997"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 xml:space="preserve">связь с агропроизводством и гастрономией — молочные продукты, 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>адыгейский сыр,</w:t>
      </w:r>
      <w:r w:rsidRPr="00413997"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 xml:space="preserve"> кукуруза, местные овощи и 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val="ru-RU" w:eastAsia="ru-RU"/>
        </w:rPr>
        <w:t>приправы.</w:t>
      </w:r>
    </w:p>
    <w:p w14:paraId="3172F601" w14:textId="48269439" w:rsidR="00413997" w:rsidRPr="00413997" w:rsidRDefault="00413997" w:rsidP="00413997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27251E"/>
          <w:sz w:val="28"/>
          <w:szCs w:val="28"/>
        </w:rPr>
      </w:pPr>
      <w:r>
        <w:rPr>
          <w:b w:val="0"/>
          <w:bCs w:val="0"/>
          <w:color w:val="27251E"/>
          <w:sz w:val="28"/>
          <w:szCs w:val="28"/>
        </w:rPr>
        <w:t>2</w:t>
      </w:r>
      <w:r w:rsidRPr="00413997">
        <w:rPr>
          <w:b w:val="0"/>
          <w:bCs w:val="0"/>
          <w:color w:val="27251E"/>
          <w:sz w:val="28"/>
          <w:szCs w:val="28"/>
        </w:rPr>
        <w:t>. Семейно</w:t>
      </w:r>
      <w:r w:rsidRPr="00413997">
        <w:rPr>
          <w:b w:val="0"/>
          <w:bCs w:val="0"/>
          <w:color w:val="27251E"/>
          <w:sz w:val="28"/>
          <w:szCs w:val="28"/>
        </w:rPr>
        <w:noBreakHyphen/>
        <w:t>развлекательный парк с природным акцентом («парк</w:t>
      </w:r>
      <w:r w:rsidRPr="00413997">
        <w:rPr>
          <w:b w:val="0"/>
          <w:bCs w:val="0"/>
          <w:color w:val="27251E"/>
          <w:sz w:val="28"/>
          <w:szCs w:val="28"/>
        </w:rPr>
        <w:noBreakHyphen/>
        <w:t>лес»)</w:t>
      </w:r>
      <w:r>
        <w:rPr>
          <w:b w:val="0"/>
          <w:bCs w:val="0"/>
          <w:color w:val="27251E"/>
          <w:sz w:val="28"/>
          <w:szCs w:val="28"/>
        </w:rPr>
        <w:t xml:space="preserve">- </w:t>
      </w:r>
      <w:r w:rsidRPr="00413997">
        <w:rPr>
          <w:b w:val="0"/>
          <w:bCs w:val="0"/>
          <w:color w:val="27251E"/>
          <w:sz w:val="28"/>
          <w:szCs w:val="28"/>
        </w:rPr>
        <w:t>безопасный, комфортный семейный отдых с элементами «мягкого» приключения и природы.</w:t>
      </w:r>
    </w:p>
    <w:p w14:paraId="536700C0" w14:textId="7F584A46" w:rsidR="003E7F0E" w:rsidRPr="00860645" w:rsidRDefault="00FE345A" w:rsidP="00413997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8"/>
          <w:szCs w:val="28"/>
          <w:u w:val="single"/>
          <w:vertAlign w:val="superscript"/>
          <w:lang w:val="ru-RU"/>
        </w:rPr>
      </w:pP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Таким образом, туристско‑рекреационный комплекс Республики Адыгея предоставляет объективные предпосылки для создания нового тематического парка в равнинных районах, который может с</w:t>
      </w:r>
      <w:r w:rsidRPr="00413997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тать важным элементом территориально сбалансированной, всесезонной и событийно ориентированной туристской системы региона.</w:t>
      </w:r>
      <w:bookmarkStart w:id="17" w:name="fnref1_12"/>
      <w:bookmarkEnd w:id="17"/>
      <w:r w:rsidR="00860645" w:rsidRPr="00860645">
        <w:rPr>
          <w:rFonts w:ascii="Times New Roman" w:eastAsia="Helvetica Neue" w:hAnsi="Times New Roman" w:cs="Times New Roman"/>
          <w:sz w:val="28"/>
          <w:szCs w:val="28"/>
          <w:u w:val="single"/>
          <w:vertAlign w:val="superscript"/>
          <w:lang w:val="ru-RU"/>
        </w:rPr>
        <w:t xml:space="preserve"> </w:t>
      </w:r>
    </w:p>
    <w:p w14:paraId="15492A1E" w14:textId="32E16AB6" w:rsidR="0052019F" w:rsidRPr="00860645" w:rsidRDefault="0052019F" w:rsidP="00413997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8"/>
          <w:szCs w:val="28"/>
          <w:u w:val="single"/>
          <w:vertAlign w:val="superscript"/>
          <w:lang w:val="ru-RU"/>
        </w:rPr>
      </w:pPr>
    </w:p>
    <w:p w14:paraId="5DE8705A" w14:textId="56723633" w:rsidR="0052019F" w:rsidRDefault="0052019F" w:rsidP="0052019F">
      <w:pPr>
        <w:spacing w:after="0" w:line="240" w:lineRule="auto"/>
        <w:ind w:firstLine="567"/>
        <w:jc w:val="center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Список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литературы:</w:t>
      </w:r>
    </w:p>
    <w:p w14:paraId="57D20853" w14:textId="03A5F387" w:rsidR="004342D0" w:rsidRPr="00860645" w:rsidRDefault="004342D0" w:rsidP="00F21DC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рекреационном потенциале региона и инвестиционных проектах</w:t>
      </w:r>
      <w:r w:rsidR="00860645"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 -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</w:rPr>
        <w:t>URL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</w:rPr>
        <w:t>https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://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</w:rPr>
        <w:t>www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60645">
        <w:rPr>
          <w:rFonts w:ascii="Times New Roman" w:eastAsia="Georgia" w:hAnsi="Times New Roman" w:cs="Times New Roman"/>
          <w:color w:val="000000"/>
          <w:sz w:val="28"/>
          <w:szCs w:val="28"/>
        </w:rPr>
        <w:t>kommersant</w:t>
      </w:r>
      <w:proofErr w:type="spellEnd"/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60645">
        <w:rPr>
          <w:rFonts w:ascii="Times New Roman" w:eastAsia="Georgia" w:hAnsi="Times New Roman" w:cs="Times New Roman"/>
          <w:color w:val="000000"/>
          <w:sz w:val="28"/>
          <w:szCs w:val="28"/>
        </w:rPr>
        <w:t>ru</w:t>
      </w:r>
      <w:proofErr w:type="spellEnd"/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/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</w:rPr>
        <w:t>doc</w:t>
      </w:r>
      <w:r w:rsidRP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/6309380</w:t>
      </w:r>
    </w:p>
    <w:p w14:paraId="2F962E65" w14:textId="77777777" w:rsidR="004342D0" w:rsidRPr="004342D0" w:rsidRDefault="004342D0" w:rsidP="00A34A5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Ожева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С.Б. Перспективы развития тематического туризма в Республике Адыгея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/ С. Б. Ожева // </w:t>
      </w:r>
      <w:hyperlink r:id="rId5" w:history="1">
        <w:r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П</w:t>
        </w:r>
        <w:r w:rsidRPr="004342D0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роблемы и перспективы социально-экономического развития регионов Юга России</w:t>
        </w:r>
      </w:hyperlink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Сборник научных трудов по материалам IX Всероссийской научно-практической конференции. Майкоп, 2024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 -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URL: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https://www.elibrary.ru/download/elibrary_80460874_92156808.pdf</w:t>
      </w:r>
    </w:p>
    <w:p w14:paraId="2F7EB527" w14:textId="7CF2B646" w:rsidR="004342D0" w:rsidRPr="004342D0" w:rsidRDefault="004342D0" w:rsidP="00A34A55">
      <w:pPr>
        <w:pStyle w:val="1"/>
        <w:numPr>
          <w:ilvl w:val="0"/>
          <w:numId w:val="10"/>
        </w:numPr>
        <w:shd w:val="clear" w:color="auto" w:fill="FFFFFF"/>
        <w:spacing w:before="0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Рекреационные ресурсы Республики Адыгея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="00A34A55" w:rsidRPr="00A34A5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URL: </w:t>
      </w:r>
      <w:hyperlink r:id="rId6" w:history="1">
        <w:r w:rsidRPr="004342D0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https://svastour.r</w:t>
        </w:r>
        <w:r w:rsidRPr="004342D0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u</w:t>
        </w:r>
        <w:r w:rsidRPr="004342D0">
          <w:rPr>
            <w:rFonts w:ascii="Times New Roman" w:eastAsia="Georgia" w:hAnsi="Times New Roman" w:cs="Times New Roman"/>
            <w:color w:val="000000"/>
            <w:sz w:val="28"/>
            <w:szCs w:val="28"/>
            <w:lang w:val="ru-RU"/>
          </w:rPr>
          <w:t>/uaz/turvozmozhnosti-adygei.php</w:t>
        </w:r>
      </w:hyperlink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AF8788E" w14:textId="06478A67" w:rsidR="004342D0" w:rsidRDefault="004342D0" w:rsidP="00A34A5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Штельмах</w:t>
      </w:r>
      <w:proofErr w:type="spellEnd"/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Рекреационное районирование республики Адыгея на геоинформационной основе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/ Е. П. </w:t>
      </w: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Штельмах</w:t>
      </w:r>
      <w:proofErr w:type="spellEnd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// Вестник Адыгейского государственного университета. Серия 4: Естественно-математические и технические науки. 2013. №1 (116).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URL: https://cyberleninka.ru/article/n/rekreatsionnoe-rayonirovanie-respubliki-adygeya-na-geoinformatsionnoy-osnove (дата обращения: 08.04.2026).</w:t>
      </w:r>
    </w:p>
    <w:p w14:paraId="19359BD5" w14:textId="117514A6" w:rsidR="004342D0" w:rsidRDefault="004342D0" w:rsidP="00A34A55">
      <w:pPr>
        <w:pStyle w:val="1"/>
        <w:numPr>
          <w:ilvl w:val="0"/>
          <w:numId w:val="10"/>
        </w:numPr>
        <w:shd w:val="clear" w:color="auto" w:fill="FFFFFF"/>
        <w:spacing w:before="0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Э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тнопарк</w:t>
      </w:r>
      <w:proofErr w:type="spellEnd"/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Дегуакская</w:t>
      </w:r>
      <w:proofErr w:type="spellEnd"/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поляна»</w:t>
      </w:r>
      <w:r w:rsidR="00860645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 -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URL: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42D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https://expertsouth.ru/news/investitsii-v-etnopark-deguakskaya-polyana-v-adygee-prevysyat-800-mln-rubley/</w:t>
      </w:r>
      <w:bookmarkStart w:id="18" w:name="fn1"/>
      <w:bookmarkStart w:id="19" w:name="fn7"/>
      <w:bookmarkStart w:id="20" w:name="fn9"/>
      <w:bookmarkStart w:id="21" w:name="fn10"/>
      <w:bookmarkEnd w:id="18"/>
      <w:bookmarkEnd w:id="19"/>
      <w:bookmarkEnd w:id="20"/>
      <w:bookmarkEnd w:id="21"/>
    </w:p>
    <w:sectPr w:rsidR="004342D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75E"/>
    <w:multiLevelType w:val="hybridMultilevel"/>
    <w:tmpl w:val="3170E5A4"/>
    <w:lvl w:ilvl="0" w:tplc="51D8332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912FD6C">
      <w:numFmt w:val="decimal"/>
      <w:lvlText w:val=""/>
      <w:lvlJc w:val="left"/>
    </w:lvl>
    <w:lvl w:ilvl="2" w:tplc="D480F2FE">
      <w:numFmt w:val="decimal"/>
      <w:lvlText w:val=""/>
      <w:lvlJc w:val="left"/>
    </w:lvl>
    <w:lvl w:ilvl="3" w:tplc="8EEA2660">
      <w:numFmt w:val="decimal"/>
      <w:lvlText w:val=""/>
      <w:lvlJc w:val="left"/>
    </w:lvl>
    <w:lvl w:ilvl="4" w:tplc="B916FABA">
      <w:numFmt w:val="decimal"/>
      <w:lvlText w:val=""/>
      <w:lvlJc w:val="left"/>
    </w:lvl>
    <w:lvl w:ilvl="5" w:tplc="34D0A0A6">
      <w:numFmt w:val="decimal"/>
      <w:lvlText w:val=""/>
      <w:lvlJc w:val="left"/>
    </w:lvl>
    <w:lvl w:ilvl="6" w:tplc="804EB3D6">
      <w:numFmt w:val="decimal"/>
      <w:lvlText w:val=""/>
      <w:lvlJc w:val="left"/>
    </w:lvl>
    <w:lvl w:ilvl="7" w:tplc="B31AA2CC">
      <w:numFmt w:val="decimal"/>
      <w:lvlText w:val=""/>
      <w:lvlJc w:val="left"/>
    </w:lvl>
    <w:lvl w:ilvl="8" w:tplc="0DFCEC20">
      <w:numFmt w:val="decimal"/>
      <w:lvlText w:val=""/>
      <w:lvlJc w:val="left"/>
    </w:lvl>
  </w:abstractNum>
  <w:abstractNum w:abstractNumId="1" w15:restartNumberingAfterBreak="0">
    <w:nsid w:val="0C763383"/>
    <w:multiLevelType w:val="hybridMultilevel"/>
    <w:tmpl w:val="CD027514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B836AC">
      <w:numFmt w:val="decimal"/>
      <w:lvlText w:val=""/>
      <w:lvlJc w:val="left"/>
    </w:lvl>
    <w:lvl w:ilvl="2" w:tplc="EAA2FD46">
      <w:numFmt w:val="decimal"/>
      <w:lvlText w:val=""/>
      <w:lvlJc w:val="left"/>
    </w:lvl>
    <w:lvl w:ilvl="3" w:tplc="0D8C0310">
      <w:numFmt w:val="decimal"/>
      <w:lvlText w:val=""/>
      <w:lvlJc w:val="left"/>
    </w:lvl>
    <w:lvl w:ilvl="4" w:tplc="F04C1ECA">
      <w:numFmt w:val="decimal"/>
      <w:lvlText w:val=""/>
      <w:lvlJc w:val="left"/>
    </w:lvl>
    <w:lvl w:ilvl="5" w:tplc="958ED062">
      <w:numFmt w:val="decimal"/>
      <w:lvlText w:val=""/>
      <w:lvlJc w:val="left"/>
    </w:lvl>
    <w:lvl w:ilvl="6" w:tplc="D486C594">
      <w:numFmt w:val="decimal"/>
      <w:lvlText w:val=""/>
      <w:lvlJc w:val="left"/>
    </w:lvl>
    <w:lvl w:ilvl="7" w:tplc="311C66F8">
      <w:numFmt w:val="decimal"/>
      <w:lvlText w:val=""/>
      <w:lvlJc w:val="left"/>
    </w:lvl>
    <w:lvl w:ilvl="8" w:tplc="D5603BFE">
      <w:numFmt w:val="decimal"/>
      <w:lvlText w:val=""/>
      <w:lvlJc w:val="left"/>
    </w:lvl>
  </w:abstractNum>
  <w:abstractNum w:abstractNumId="2" w15:restartNumberingAfterBreak="0">
    <w:nsid w:val="1CD673CE"/>
    <w:multiLevelType w:val="hybridMultilevel"/>
    <w:tmpl w:val="D1565814"/>
    <w:lvl w:ilvl="0" w:tplc="494082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5986FCA">
      <w:numFmt w:val="decimal"/>
      <w:lvlText w:val=""/>
      <w:lvlJc w:val="left"/>
    </w:lvl>
    <w:lvl w:ilvl="2" w:tplc="03D2F024">
      <w:numFmt w:val="decimal"/>
      <w:lvlText w:val=""/>
      <w:lvlJc w:val="left"/>
    </w:lvl>
    <w:lvl w:ilvl="3" w:tplc="2D765B2A">
      <w:numFmt w:val="decimal"/>
      <w:lvlText w:val=""/>
      <w:lvlJc w:val="left"/>
    </w:lvl>
    <w:lvl w:ilvl="4" w:tplc="CBCCE5A8">
      <w:numFmt w:val="decimal"/>
      <w:lvlText w:val=""/>
      <w:lvlJc w:val="left"/>
    </w:lvl>
    <w:lvl w:ilvl="5" w:tplc="19AE9BC6">
      <w:numFmt w:val="decimal"/>
      <w:lvlText w:val=""/>
      <w:lvlJc w:val="left"/>
    </w:lvl>
    <w:lvl w:ilvl="6" w:tplc="9F981DF4">
      <w:numFmt w:val="decimal"/>
      <w:lvlText w:val=""/>
      <w:lvlJc w:val="left"/>
    </w:lvl>
    <w:lvl w:ilvl="7" w:tplc="6A4445CE">
      <w:numFmt w:val="decimal"/>
      <w:lvlText w:val=""/>
      <w:lvlJc w:val="left"/>
    </w:lvl>
    <w:lvl w:ilvl="8" w:tplc="57283018">
      <w:numFmt w:val="decimal"/>
      <w:lvlText w:val=""/>
      <w:lvlJc w:val="left"/>
    </w:lvl>
  </w:abstractNum>
  <w:abstractNum w:abstractNumId="3" w15:restartNumberingAfterBreak="0">
    <w:nsid w:val="2AD154C6"/>
    <w:multiLevelType w:val="hybridMultilevel"/>
    <w:tmpl w:val="FFE49D4A"/>
    <w:lvl w:ilvl="0" w:tplc="CA64DDC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B3E6B82">
      <w:numFmt w:val="decimal"/>
      <w:lvlText w:val=""/>
      <w:lvlJc w:val="left"/>
    </w:lvl>
    <w:lvl w:ilvl="2" w:tplc="BB1A4F52">
      <w:numFmt w:val="decimal"/>
      <w:lvlText w:val=""/>
      <w:lvlJc w:val="left"/>
    </w:lvl>
    <w:lvl w:ilvl="3" w:tplc="755A7B36">
      <w:numFmt w:val="decimal"/>
      <w:lvlText w:val=""/>
      <w:lvlJc w:val="left"/>
    </w:lvl>
    <w:lvl w:ilvl="4" w:tplc="6374B3F4">
      <w:numFmt w:val="decimal"/>
      <w:lvlText w:val=""/>
      <w:lvlJc w:val="left"/>
    </w:lvl>
    <w:lvl w:ilvl="5" w:tplc="201AE65C">
      <w:numFmt w:val="decimal"/>
      <w:lvlText w:val=""/>
      <w:lvlJc w:val="left"/>
    </w:lvl>
    <w:lvl w:ilvl="6" w:tplc="E0885A8E">
      <w:numFmt w:val="decimal"/>
      <w:lvlText w:val=""/>
      <w:lvlJc w:val="left"/>
    </w:lvl>
    <w:lvl w:ilvl="7" w:tplc="94305FFC">
      <w:numFmt w:val="decimal"/>
      <w:lvlText w:val=""/>
      <w:lvlJc w:val="left"/>
    </w:lvl>
    <w:lvl w:ilvl="8" w:tplc="DAF21FDA">
      <w:numFmt w:val="decimal"/>
      <w:lvlText w:val=""/>
      <w:lvlJc w:val="left"/>
    </w:lvl>
  </w:abstractNum>
  <w:abstractNum w:abstractNumId="4" w15:restartNumberingAfterBreak="0">
    <w:nsid w:val="2CAB5CE2"/>
    <w:multiLevelType w:val="hybridMultilevel"/>
    <w:tmpl w:val="0AC20D44"/>
    <w:lvl w:ilvl="0" w:tplc="51D8332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B1B"/>
    <w:multiLevelType w:val="hybridMultilevel"/>
    <w:tmpl w:val="2C8C56EC"/>
    <w:lvl w:ilvl="0" w:tplc="3238077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C9A1124">
      <w:numFmt w:val="decimal"/>
      <w:lvlText w:val=""/>
      <w:lvlJc w:val="left"/>
    </w:lvl>
    <w:lvl w:ilvl="2" w:tplc="0FE2B9CE">
      <w:numFmt w:val="decimal"/>
      <w:lvlText w:val=""/>
      <w:lvlJc w:val="left"/>
    </w:lvl>
    <w:lvl w:ilvl="3" w:tplc="A34403F6">
      <w:numFmt w:val="decimal"/>
      <w:lvlText w:val=""/>
      <w:lvlJc w:val="left"/>
    </w:lvl>
    <w:lvl w:ilvl="4" w:tplc="703ACB3E">
      <w:numFmt w:val="decimal"/>
      <w:lvlText w:val=""/>
      <w:lvlJc w:val="left"/>
    </w:lvl>
    <w:lvl w:ilvl="5" w:tplc="AB5A2016">
      <w:numFmt w:val="decimal"/>
      <w:lvlText w:val=""/>
      <w:lvlJc w:val="left"/>
    </w:lvl>
    <w:lvl w:ilvl="6" w:tplc="63788DD0">
      <w:numFmt w:val="decimal"/>
      <w:lvlText w:val=""/>
      <w:lvlJc w:val="left"/>
    </w:lvl>
    <w:lvl w:ilvl="7" w:tplc="D1146BBC">
      <w:numFmt w:val="decimal"/>
      <w:lvlText w:val=""/>
      <w:lvlJc w:val="left"/>
    </w:lvl>
    <w:lvl w:ilvl="8" w:tplc="73A6067C">
      <w:numFmt w:val="decimal"/>
      <w:lvlText w:val=""/>
      <w:lvlJc w:val="left"/>
    </w:lvl>
  </w:abstractNum>
  <w:abstractNum w:abstractNumId="6" w15:restartNumberingAfterBreak="0">
    <w:nsid w:val="41633D31"/>
    <w:multiLevelType w:val="hybridMultilevel"/>
    <w:tmpl w:val="6E529F38"/>
    <w:lvl w:ilvl="0" w:tplc="3E00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B4337"/>
    <w:multiLevelType w:val="hybridMultilevel"/>
    <w:tmpl w:val="CDD85656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5986FCA">
      <w:numFmt w:val="decimal"/>
      <w:lvlText w:val=""/>
      <w:lvlJc w:val="left"/>
    </w:lvl>
    <w:lvl w:ilvl="2" w:tplc="03D2F024">
      <w:numFmt w:val="decimal"/>
      <w:lvlText w:val=""/>
      <w:lvlJc w:val="left"/>
    </w:lvl>
    <w:lvl w:ilvl="3" w:tplc="2D765B2A">
      <w:numFmt w:val="decimal"/>
      <w:lvlText w:val=""/>
      <w:lvlJc w:val="left"/>
    </w:lvl>
    <w:lvl w:ilvl="4" w:tplc="CBCCE5A8">
      <w:numFmt w:val="decimal"/>
      <w:lvlText w:val=""/>
      <w:lvlJc w:val="left"/>
    </w:lvl>
    <w:lvl w:ilvl="5" w:tplc="19AE9BC6">
      <w:numFmt w:val="decimal"/>
      <w:lvlText w:val=""/>
      <w:lvlJc w:val="left"/>
    </w:lvl>
    <w:lvl w:ilvl="6" w:tplc="9F981DF4">
      <w:numFmt w:val="decimal"/>
      <w:lvlText w:val=""/>
      <w:lvlJc w:val="left"/>
    </w:lvl>
    <w:lvl w:ilvl="7" w:tplc="6A4445CE">
      <w:numFmt w:val="decimal"/>
      <w:lvlText w:val=""/>
      <w:lvlJc w:val="left"/>
    </w:lvl>
    <w:lvl w:ilvl="8" w:tplc="57283018">
      <w:numFmt w:val="decimal"/>
      <w:lvlText w:val=""/>
      <w:lvlJc w:val="left"/>
    </w:lvl>
  </w:abstractNum>
  <w:abstractNum w:abstractNumId="8" w15:restartNumberingAfterBreak="0">
    <w:nsid w:val="527C2E25"/>
    <w:multiLevelType w:val="multilevel"/>
    <w:tmpl w:val="F628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E97A70"/>
    <w:multiLevelType w:val="hybridMultilevel"/>
    <w:tmpl w:val="CF7084FE"/>
    <w:lvl w:ilvl="0" w:tplc="6ACEF0F0">
      <w:numFmt w:val="decimal"/>
      <w:lvlText w:val=""/>
      <w:lvlJc w:val="left"/>
    </w:lvl>
    <w:lvl w:ilvl="1" w:tplc="BE94C68C">
      <w:numFmt w:val="decimal"/>
      <w:lvlText w:val=""/>
      <w:lvlJc w:val="left"/>
    </w:lvl>
    <w:lvl w:ilvl="2" w:tplc="986ABBDE">
      <w:numFmt w:val="decimal"/>
      <w:lvlText w:val=""/>
      <w:lvlJc w:val="left"/>
    </w:lvl>
    <w:lvl w:ilvl="3" w:tplc="DCF42C12">
      <w:numFmt w:val="decimal"/>
      <w:lvlText w:val=""/>
      <w:lvlJc w:val="left"/>
    </w:lvl>
    <w:lvl w:ilvl="4" w:tplc="1CC4CC4C">
      <w:numFmt w:val="decimal"/>
      <w:lvlText w:val=""/>
      <w:lvlJc w:val="left"/>
    </w:lvl>
    <w:lvl w:ilvl="5" w:tplc="F43E8CA0">
      <w:numFmt w:val="decimal"/>
      <w:lvlText w:val=""/>
      <w:lvlJc w:val="left"/>
    </w:lvl>
    <w:lvl w:ilvl="6" w:tplc="64F8DDC2">
      <w:numFmt w:val="decimal"/>
      <w:lvlText w:val=""/>
      <w:lvlJc w:val="left"/>
    </w:lvl>
    <w:lvl w:ilvl="7" w:tplc="0C185F80">
      <w:numFmt w:val="decimal"/>
      <w:lvlText w:val=""/>
      <w:lvlJc w:val="left"/>
    </w:lvl>
    <w:lvl w:ilvl="8" w:tplc="1720A254">
      <w:numFmt w:val="decimal"/>
      <w:lvlText w:val=""/>
      <w:lvlJc w:val="left"/>
    </w:lvl>
  </w:abstractNum>
  <w:abstractNum w:abstractNumId="10" w15:restartNumberingAfterBreak="0">
    <w:nsid w:val="7F55464C"/>
    <w:multiLevelType w:val="multilevel"/>
    <w:tmpl w:val="129E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E72131"/>
    <w:multiLevelType w:val="hybridMultilevel"/>
    <w:tmpl w:val="1570C69E"/>
    <w:lvl w:ilvl="0" w:tplc="3892A6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B836AC">
      <w:numFmt w:val="decimal"/>
      <w:lvlText w:val=""/>
      <w:lvlJc w:val="left"/>
    </w:lvl>
    <w:lvl w:ilvl="2" w:tplc="EAA2FD46">
      <w:numFmt w:val="decimal"/>
      <w:lvlText w:val=""/>
      <w:lvlJc w:val="left"/>
    </w:lvl>
    <w:lvl w:ilvl="3" w:tplc="0D8C0310">
      <w:numFmt w:val="decimal"/>
      <w:lvlText w:val=""/>
      <w:lvlJc w:val="left"/>
    </w:lvl>
    <w:lvl w:ilvl="4" w:tplc="F04C1ECA">
      <w:numFmt w:val="decimal"/>
      <w:lvlText w:val=""/>
      <w:lvlJc w:val="left"/>
    </w:lvl>
    <w:lvl w:ilvl="5" w:tplc="958ED062">
      <w:numFmt w:val="decimal"/>
      <w:lvlText w:val=""/>
      <w:lvlJc w:val="left"/>
    </w:lvl>
    <w:lvl w:ilvl="6" w:tplc="D486C594">
      <w:numFmt w:val="decimal"/>
      <w:lvlText w:val=""/>
      <w:lvlJc w:val="left"/>
    </w:lvl>
    <w:lvl w:ilvl="7" w:tplc="311C66F8">
      <w:numFmt w:val="decimal"/>
      <w:lvlText w:val=""/>
      <w:lvlJc w:val="left"/>
    </w:lvl>
    <w:lvl w:ilvl="8" w:tplc="D5603BFE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0E"/>
    <w:rsid w:val="003E7F0E"/>
    <w:rsid w:val="00413997"/>
    <w:rsid w:val="004342D0"/>
    <w:rsid w:val="0052019F"/>
    <w:rsid w:val="00860645"/>
    <w:rsid w:val="009C15AD"/>
    <w:rsid w:val="00A34A55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E49F"/>
  <w15:docId w15:val="{05D399D7-8530-4CC9-8F08-88230308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3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41399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1399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my-2">
    <w:name w:val="my-2"/>
    <w:basedOn w:val="a"/>
    <w:rsid w:val="0041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342D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4342D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3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astour.ru/uaz/turvozmozhnosti-adygei.php" TargetMode="External"/><Relationship Id="rId5" Type="http://schemas.openxmlformats.org/officeDocument/2006/relationships/hyperlink" Target="https://www.elibrary.ru/item.asp?id=80460828&amp;selid=804608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OSB</cp:lastModifiedBy>
  <cp:revision>6</cp:revision>
  <dcterms:created xsi:type="dcterms:W3CDTF">2026-04-08T17:31:00Z</dcterms:created>
  <dcterms:modified xsi:type="dcterms:W3CDTF">2026-04-08T17:59:00Z</dcterms:modified>
</cp:coreProperties>
</file>