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58E4" w14:textId="4DDC49CD" w:rsidR="00E35CCE" w:rsidRDefault="001D462C" w:rsidP="001D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D4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ОЦЕНКА ВОЗМОЖНОСТЕЙ ТУРИСТСКО-РЕКРЕАЦИОННОГО КОМПЛЕКСА РЕСПУБЛИКИ АДЫГЕЯ ДЛЯ ОПРЕДЕЛЕНИЯ </w:t>
      </w:r>
      <w:r w:rsidR="00B2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ПЕРСПЕКТИВ </w:t>
      </w:r>
      <w:r w:rsidR="003A18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ИНТЕГРАЦИИ</w:t>
      </w:r>
      <w:r w:rsidRPr="001D46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ТУРИСТСКИХ БИЗНЕС-ИДЕЙ</w:t>
      </w:r>
    </w:p>
    <w:p w14:paraId="1E475235" w14:textId="77777777" w:rsidR="001D462C" w:rsidRPr="001D462C" w:rsidRDefault="001D462C" w:rsidP="001D4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BB33C1E" w14:textId="77777777" w:rsidR="00E35CCE" w:rsidRPr="001D462C" w:rsidRDefault="00E35CCE" w:rsidP="001D46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D462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Сохов Астемир Джабраилович </w:t>
      </w:r>
    </w:p>
    <w:p w14:paraId="7D81B596" w14:textId="16AA3B57" w:rsidR="00E35CCE" w:rsidRPr="001D462C" w:rsidRDefault="00E35CCE" w:rsidP="001D46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D462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Адыгейский государственный университет, г. Майкоп. </w:t>
      </w:r>
    </w:p>
    <w:p w14:paraId="74202956" w14:textId="77777777" w:rsidR="00E35CCE" w:rsidRPr="001D462C" w:rsidRDefault="00E35CCE" w:rsidP="001D46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D462C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Научный руководитель: Ожева С.Б. к. с. наук, доцент</w:t>
      </w:r>
    </w:p>
    <w:p w14:paraId="10DEAD2C" w14:textId="77777777" w:rsidR="00E35CCE" w:rsidRPr="00F34689" w:rsidRDefault="00E35CCE" w:rsidP="001D462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34689">
        <w:rPr>
          <w:rFonts w:ascii="Times New Roman" w:hAnsi="Times New Roman" w:cs="Times New Roman"/>
          <w:i/>
          <w:iCs/>
          <w:sz w:val="28"/>
          <w:szCs w:val="28"/>
          <w:lang w:val="ru-RU"/>
        </w:rPr>
        <w:t>Адыгейский государственный университет, г. Майкоп</w:t>
      </w:r>
    </w:p>
    <w:p w14:paraId="46EB5E20" w14:textId="77777777" w:rsidR="00E35CCE" w:rsidRPr="001D462C" w:rsidRDefault="00E35CCE" w:rsidP="001D4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0654B34" w14:textId="3D5B4016" w:rsidR="000A717A" w:rsidRPr="001D462C" w:rsidRDefault="00F34689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Туристско‑рекреационный комплекс Республики Адыгея сегодня представляет собой не только основу для классического природного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, спортивного, экскурсионного и 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событийного туризма, но и пространство для запуска новых туристских бизнес‑идей, ориентированных на растущий в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нутренний спрос, компактность территории и усиление инвестиционной активности в регионе. </w:t>
      </w:r>
    </w:p>
    <w:p w14:paraId="6F309B58" w14:textId="5414CF40" w:rsidR="000A717A" w:rsidRPr="001D462C" w:rsidRDefault="00F34689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Актуальность темы определяется тем, что Адыгея в 2025–2026 гг. демонстрирует высокие темпы роста туристского потока, а туризм в региональной стратегии рассматривается как одно из приоритетных направле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ний развития наряду с промышленными проектами. По данным региональных и деловых источников, рост спроса поддерживается крупными проектами вроде всесезонного экокурорта «Лагонаки», многофункционального туристско‑рекреационного парка «Дегуакская поляна», а т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акже расширением событийной повестки и инфраструктуры размещения.</w:t>
      </w:r>
      <w:bookmarkStart w:id="0" w:name="fnref4"/>
      <w:bookmarkEnd w:id="0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6C465D9" w14:textId="1B461F96" w:rsidR="000A717A" w:rsidRPr="001D462C" w:rsidRDefault="00F34689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 этих условиях возникает практическая необхо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димость определить, какие именно точки территории и какие сегменты турпродукта наиболее благоприятны для внедрения новых бизнес‑идей — от модульных средств размещения и этнопроектов до сервисов цифрового сопровождения, гастрономических форматов и оздоровит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ельных услуг. Компактность Адыгеи, высокая концентрация природных и культурных ресурсов и растущий интерес к региону создают условия для быстрого тестирования и масштабирования новых туристских решений.</w:t>
      </w:r>
      <w:bookmarkStart w:id="1" w:name="fnref7"/>
      <w:bookmarkEnd w:id="1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DEF340" w14:textId="4E125EB6" w:rsidR="000A717A" w:rsidRPr="001D462C" w:rsidRDefault="00F34689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Цель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ю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исследования 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является оценка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="001D462C"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возможност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ей </w:t>
      </w:r>
      <w:r w:rsidR="001D462C"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туристско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‑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рекреационного комплекса Республики Адыгея 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для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определения точек внедрения новых туристских бизнес‑идей и выяв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ления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направлени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й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 где такие идеи будут наиболее экономически и территориально обоснованы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</w:p>
    <w:p w14:paraId="60269CD0" w14:textId="3DE30557" w:rsidR="000A717A" w:rsidRPr="001D462C" w:rsidRDefault="00F34689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Для достижения цели 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нами были решены 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следующие задачи:</w:t>
      </w:r>
    </w:p>
    <w:p w14:paraId="445ACB1A" w14:textId="538BBE65" w:rsidR="000A717A" w:rsidRPr="001D462C" w:rsidRDefault="00F34689" w:rsidP="001D46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выяв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лены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ключевые ресурсы и зоны туристско‑рекреационной привлекательности региона;</w:t>
      </w:r>
      <w:bookmarkStart w:id="2" w:name="fnref8_2"/>
      <w:bookmarkEnd w:id="2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2E81BB" w14:textId="6A06A9E5" w:rsidR="000A717A" w:rsidRPr="001D462C" w:rsidRDefault="00F34689" w:rsidP="001D46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определ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ены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территории с высокой концентрацией спроса и инвестиционного интереса;</w:t>
      </w:r>
      <w:bookmarkStart w:id="3" w:name="fnref3_3"/>
      <w:bookmarkEnd w:id="3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533C23F" w14:textId="74C20D84" w:rsidR="000A717A" w:rsidRPr="001D462C" w:rsidRDefault="00F34689" w:rsidP="001D46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проанализирова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существующие и планируемые проекты, которые могут стать пло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щадками для новых бизнес‑моделей;</w:t>
      </w:r>
      <w:bookmarkStart w:id="4" w:name="fnref2_2"/>
      <w:bookmarkEnd w:id="4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AFA028" w14:textId="46082157" w:rsidR="000A717A" w:rsidRPr="001D462C" w:rsidRDefault="00F34689" w:rsidP="001D462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сформулирова</w:t>
      </w:r>
      <w:r w:rsid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перспективные направления для запуска туристских стартапов и малого бизнеса в Адыгее.</w:t>
      </w:r>
      <w:bookmarkStart w:id="5" w:name="fnref7_1"/>
      <w:bookmarkEnd w:id="5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9F7A6A" w14:textId="77777777" w:rsidR="000A717A" w:rsidRPr="001D462C" w:rsidRDefault="00F34689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Исследования и аналитические материалы показывают, что наиболее перспективными точками для внедрения новых туристских бизнес‑идей в Адыгее являются:</w:t>
      </w:r>
    </w:p>
    <w:p w14:paraId="30284007" w14:textId="7CF8B9E2" w:rsidR="000A717A" w:rsidRPr="001D462C" w:rsidRDefault="00F34689" w:rsidP="001D46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зоны крупных инвестиционных проектов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— «Лагонаки» и «Дегуакская поляна», где формируется новая туристская и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нфраструктура и возникает спрос на сопутствующие услуги;</w:t>
      </w:r>
      <w:bookmarkStart w:id="6" w:name="fnref6_2"/>
      <w:bookmarkEnd w:id="6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32D086A" w14:textId="35FFF3F2" w:rsidR="000A717A" w:rsidRPr="001D462C" w:rsidRDefault="00F34689" w:rsidP="001D46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территории массового событийного туризма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особенно площадки фестивалей, ярмарок и этнокультурных мероприятий;</w:t>
      </w:r>
      <w:bookmarkStart w:id="7" w:name="fnref4_5"/>
      <w:bookmarkEnd w:id="7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41A88301" w14:textId="70CB84DA" w:rsidR="000A717A" w:rsidRPr="001D462C" w:rsidRDefault="00F34689" w:rsidP="001D46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маршрутные узлы и точки входа в природные локации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где востребованы кафе, глэмпинги, мини‑отели, прокат, экскурсионный сервис, сувенирная торговля и цифровая навигация;</w:t>
      </w:r>
      <w:bookmarkStart w:id="8" w:name="fnref6_3"/>
      <w:bookmarkEnd w:id="8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8B6958D" w14:textId="09FE4FBA" w:rsidR="000A717A" w:rsidRPr="001D462C" w:rsidRDefault="00F34689" w:rsidP="001D46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зоны семейного и оздоровительного отдыха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, где можно развивать 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wellness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‑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сервисы, термальные форматы, гостевые дома и программы выходного дня;</w:t>
      </w:r>
      <w:bookmarkStart w:id="9" w:name="fnref1_3"/>
      <w:bookmarkEnd w:id="9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F943A69" w14:textId="06838438" w:rsidR="000A717A" w:rsidRPr="001D462C" w:rsidRDefault="00F34689" w:rsidP="001D462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городские и пригородные пространства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, которые могут стать площадками для тематических парков, гастрономических 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точек, туристских центров и интерактивных маршрутов.</w:t>
      </w:r>
      <w:bookmarkStart w:id="10" w:name="fnref5_5"/>
      <w:bookmarkEnd w:id="10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918F1B" w14:textId="03B79883" w:rsidR="000A717A" w:rsidRPr="001D462C" w:rsidRDefault="001D462C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11" w:name="основные_выводы"/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Таким образом, результаты проведенного исследования позволили нам сделать следующие</w:t>
      </w:r>
      <w:r w:rsidR="00F34689"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выводы</w:t>
      </w:r>
      <w:bookmarkEnd w:id="11"/>
    </w:p>
    <w:p w14:paraId="1F2BEB28" w14:textId="1F4F27EC" w:rsidR="000A717A" w:rsidRPr="001D462C" w:rsidRDefault="00F34689" w:rsidP="001D4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Адыгея обладает высоким потенциалом для внедрения новых туристских бизнес‑идей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поскольку сочетает устойчивый рост турпотока, компактность территории и наличие нескольких крупных инвестиционных проектов, формирующих новые точки притяжения.</w:t>
      </w:r>
      <w:bookmarkStart w:id="12" w:name="fnref2_3"/>
      <w:bookmarkEnd w:id="12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2E92A08" w14:textId="3CF8EA2B" w:rsidR="000A717A" w:rsidRPr="001D462C" w:rsidRDefault="00F34689" w:rsidP="001D4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Наиболе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е перспективны бизнес‑идеи, встроенные в существующий или проектируемый турпоток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, а не изолированные инициативы. Это означает приоритет для модульных гостиниц, глэмпингов, этнопарков, гастрономических площадок, экскурсионных сервисов и цифровых туристских 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продуктов.</w:t>
      </w:r>
      <w:bookmarkStart w:id="13" w:name="fnref8_7"/>
      <w:bookmarkEnd w:id="13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5FE6033" w14:textId="4A4DADDD" w:rsidR="000A717A" w:rsidRPr="001D462C" w:rsidRDefault="00F34689" w:rsidP="001D4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Ключевые </w:t>
      </w:r>
      <w:r w:rsid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зоны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 внедрения новых идей сосредоточены в местах будущей высокой проходимости и роста инфраструктуры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прежде всего вокруг «Лагонаки», «Дегуакской по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ляны», фестивальных площадок и маршрутов природного туризма.</w:t>
      </w:r>
      <w:bookmarkStart w:id="14" w:name="fnref4_7"/>
      <w:bookmarkEnd w:id="14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3ABD88ED" w14:textId="31F8D4F4" w:rsidR="000A717A" w:rsidRPr="001D462C" w:rsidRDefault="00F34689" w:rsidP="001D4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Новым туристским бизнес‑идеям в Адыгее особенно важна ориентация на событийность, экологичность и локальную 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идентичность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поскольку именно эти параметры сегодня лучше всего отвечают запросам внутреннего туриста.</w:t>
      </w:r>
      <w:bookmarkStart w:id="15" w:name="fnref3_8"/>
      <w:bookmarkEnd w:id="15"/>
      <w:r w:rsidR="001D462C" w:rsidRPr="001D462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43AC471" w14:textId="6B24DF38" w:rsidR="000A717A" w:rsidRPr="001D462C" w:rsidRDefault="00F34689" w:rsidP="001D46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lastRenderedPageBreak/>
        <w:t>Региональная специфика Адыгеи позволяет быстро запускать и тестир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овать новые форматы</w:t>
      </w:r>
      <w:r w:rsidRPr="001D462C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так как небольшая территория и высокая управляемость региона упрощают координацию власти, бизнеса и инфраструктурных проектов.</w:t>
      </w:r>
      <w:bookmarkStart w:id="16" w:name="fnref9"/>
      <w:bookmarkEnd w:id="16"/>
      <w:r w:rsidR="001D462C"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CABE07F" w14:textId="126F9199" w:rsidR="000A717A" w:rsidRDefault="00F34689" w:rsidP="001D462C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 целом туристско‑рекреационный комплекс Республики Адыгея можно рассматривать как благоприятную среду для внедрения новых туристских бизнес‑идей, особенно если они опираются на природный капитал, событийный туризм, локальную культуру и новые формы размеще</w:t>
      </w:r>
      <w:r w:rsidRPr="001D462C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ния и сервиса.</w:t>
      </w:r>
      <w:bookmarkStart w:id="17" w:name="fnref1_4"/>
      <w:bookmarkEnd w:id="17"/>
    </w:p>
    <w:p w14:paraId="798A5A42" w14:textId="77777777" w:rsidR="001D462C" w:rsidRPr="00110D6B" w:rsidRDefault="001D462C" w:rsidP="001D462C">
      <w:pPr>
        <w:spacing w:after="0" w:line="240" w:lineRule="auto"/>
        <w:ind w:firstLine="567"/>
        <w:jc w:val="center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  <w:bookmarkStart w:id="18" w:name="_Hlk226573371"/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Список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0D6B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литературы:</w:t>
      </w:r>
    </w:p>
    <w:bookmarkEnd w:id="18"/>
    <w:p w14:paraId="4BB59009" w14:textId="46AC3E06" w:rsidR="001D462C" w:rsidRPr="001D462C" w:rsidRDefault="001D462C" w:rsidP="001D462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62C">
        <w:rPr>
          <w:rFonts w:ascii="Times New Roman" w:hAnsi="Times New Roman" w:cs="Times New Roman"/>
          <w:sz w:val="28"/>
          <w:szCs w:val="28"/>
          <w:lang w:val="ru-RU"/>
        </w:rPr>
        <w:t>Ожева, С. Б. Развитие туристско-рекреационного комплекса Республики Адыгея на современном этапе / С.Б. Ожева, Д. А. Сташ // Вестник индустрии гостеприимства : международный научный сборни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. Выпуск 17. – СПб. : Изд-во Санкт-Петербургский государственный экономический университет – </w:t>
      </w:r>
      <w:r w:rsidRPr="001D462C">
        <w:rPr>
          <w:rFonts w:ascii="Times New Roman" w:hAnsi="Times New Roman" w:cs="Times New Roman"/>
          <w:sz w:val="28"/>
          <w:szCs w:val="28"/>
        </w:rPr>
        <w:t>URL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1D462C">
        <w:rPr>
          <w:rFonts w:ascii="Times New Roman" w:hAnsi="Times New Roman" w:cs="Times New Roman"/>
          <w:sz w:val="28"/>
          <w:szCs w:val="28"/>
        </w:rPr>
        <w:t>https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1D462C">
        <w:rPr>
          <w:rFonts w:ascii="Times New Roman" w:hAnsi="Times New Roman" w:cs="Times New Roman"/>
          <w:sz w:val="28"/>
          <w:szCs w:val="28"/>
        </w:rPr>
        <w:t>www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D462C">
        <w:rPr>
          <w:rFonts w:ascii="Times New Roman" w:hAnsi="Times New Roman" w:cs="Times New Roman"/>
          <w:sz w:val="28"/>
          <w:szCs w:val="28"/>
        </w:rPr>
        <w:t>elibrary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D462C">
        <w:rPr>
          <w:rFonts w:ascii="Times New Roman" w:hAnsi="Times New Roman" w:cs="Times New Roman"/>
          <w:sz w:val="28"/>
          <w:szCs w:val="28"/>
        </w:rPr>
        <w:t>ru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1D462C">
        <w:rPr>
          <w:rFonts w:ascii="Times New Roman" w:hAnsi="Times New Roman" w:cs="Times New Roman"/>
          <w:sz w:val="28"/>
          <w:szCs w:val="28"/>
        </w:rPr>
        <w:t>download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1D462C">
        <w:rPr>
          <w:rFonts w:ascii="Times New Roman" w:hAnsi="Times New Roman" w:cs="Times New Roman"/>
          <w:sz w:val="28"/>
          <w:szCs w:val="28"/>
        </w:rPr>
        <w:t>elibrary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_69180432_49907510.</w:t>
      </w:r>
      <w:r w:rsidRPr="001D462C">
        <w:rPr>
          <w:rFonts w:ascii="Times New Roman" w:hAnsi="Times New Roman" w:cs="Times New Roman"/>
          <w:sz w:val="28"/>
          <w:szCs w:val="28"/>
        </w:rPr>
        <w:t>pdf</w:t>
      </w:r>
    </w:p>
    <w:p w14:paraId="0F637F11" w14:textId="02D4C7C7" w:rsidR="001D462C" w:rsidRPr="001D462C" w:rsidRDefault="001D462C" w:rsidP="001D462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fn3"/>
      <w:bookmarkEnd w:id="19"/>
      <w:r w:rsidRPr="001D462C">
        <w:rPr>
          <w:rFonts w:ascii="Times New Roman" w:hAnsi="Times New Roman" w:cs="Times New Roman"/>
          <w:sz w:val="28"/>
          <w:szCs w:val="28"/>
          <w:lang w:val="ru-RU"/>
        </w:rPr>
        <w:t>Полякова, Е. А. Особенности развития турист</w:t>
      </w:r>
      <w:r w:rsidRPr="001D462C">
        <w:rPr>
          <w:rFonts w:ascii="Times New Roman" w:hAnsi="Times New Roman" w:cs="Times New Roman"/>
          <w:sz w:val="28"/>
          <w:szCs w:val="28"/>
        </w:rPr>
        <w:t>c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ко-рекреационной системы региона Лаго-Наки, Республика Адыгея / Е .А .Полякова // Системные технологи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D462C">
        <w:rPr>
          <w:rFonts w:ascii="Times New Roman" w:hAnsi="Times New Roman" w:cs="Times New Roman"/>
          <w:sz w:val="28"/>
          <w:szCs w:val="28"/>
        </w:rPr>
        <w:t xml:space="preserve">2019. №3 (32). - URL: https://cyberleninka.ru/article/n/osobennosti-razvitiya-turistcko-rekreatsionnoy-sistemy-regiona-lago-naki-respublika-adygeya </w:t>
      </w:r>
    </w:p>
    <w:p w14:paraId="770E61D3" w14:textId="4DD25727" w:rsidR="001D462C" w:rsidRPr="001D462C" w:rsidRDefault="001D462C" w:rsidP="001D462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fn5"/>
      <w:bookmarkStart w:id="21" w:name="fn6"/>
      <w:bookmarkEnd w:id="20"/>
      <w:bookmarkEnd w:id="21"/>
      <w:r w:rsidRPr="001D462C">
        <w:rPr>
          <w:rFonts w:ascii="Times New Roman" w:hAnsi="Times New Roman" w:cs="Times New Roman"/>
          <w:sz w:val="28"/>
          <w:szCs w:val="28"/>
          <w:lang w:val="ru-RU"/>
        </w:rPr>
        <w:t>Свиридова, Е. П. Туристско-рекреационное районирование территории Республики Адыгея на геоинформационной основ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D462C">
        <w:rPr>
          <w:rFonts w:ascii="Times New Roman" w:hAnsi="Times New Roman" w:cs="Times New Roman"/>
          <w:sz w:val="28"/>
          <w:szCs w:val="28"/>
        </w:rPr>
        <w:t xml:space="preserve">ИнтерКарто. 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ИнтерГИС / Е.П. Свиридова, А.Н. Гуня. - </w:t>
      </w:r>
      <w:r w:rsidRPr="001D462C">
        <w:rPr>
          <w:rFonts w:ascii="Times New Roman" w:hAnsi="Times New Roman" w:cs="Times New Roman"/>
          <w:sz w:val="28"/>
          <w:szCs w:val="28"/>
        </w:rPr>
        <w:t>M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>осква : Географический факульте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 МГУ, 2022. Т. 28. Ч. 2. С. 499–509. </w:t>
      </w:r>
    </w:p>
    <w:p w14:paraId="7DCBD3C2" w14:textId="75E59011" w:rsidR="001D462C" w:rsidRPr="001D462C" w:rsidRDefault="001D462C" w:rsidP="001D462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2C">
        <w:rPr>
          <w:rFonts w:ascii="Times New Roman" w:hAnsi="Times New Roman" w:cs="Times New Roman"/>
          <w:sz w:val="28"/>
          <w:szCs w:val="28"/>
          <w:lang w:val="ru-RU"/>
        </w:rPr>
        <w:t>Янченко Е.А., Янченко Д.Д. Основные показатели и факторы развития туризма и рекреации Республики Адыгея // Вестник Алтайской академии экономики и прав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D46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D462C">
        <w:rPr>
          <w:rFonts w:ascii="Times New Roman" w:hAnsi="Times New Roman" w:cs="Times New Roman"/>
          <w:sz w:val="28"/>
          <w:szCs w:val="28"/>
        </w:rPr>
        <w:t xml:space="preserve">2024. № 8-1. С. 186-190; - URL: https://vaael.ru/ru/article/view?id=3642 </w:t>
      </w:r>
    </w:p>
    <w:p w14:paraId="5D31601D" w14:textId="77777777" w:rsidR="001D462C" w:rsidRPr="001D462C" w:rsidRDefault="001D462C" w:rsidP="001D4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D462C" w:rsidRPr="001D462C" w:rsidSect="001D462C">
      <w:pgSz w:w="12240" w:h="15840"/>
      <w:pgMar w:top="1134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F93"/>
    <w:multiLevelType w:val="hybridMultilevel"/>
    <w:tmpl w:val="C71C1BBA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B8ACB26">
      <w:numFmt w:val="decimal"/>
      <w:lvlText w:val=""/>
      <w:lvlJc w:val="left"/>
    </w:lvl>
    <w:lvl w:ilvl="2" w:tplc="EEBEA9F0">
      <w:numFmt w:val="decimal"/>
      <w:lvlText w:val=""/>
      <w:lvlJc w:val="left"/>
    </w:lvl>
    <w:lvl w:ilvl="3" w:tplc="E68892AA">
      <w:numFmt w:val="decimal"/>
      <w:lvlText w:val=""/>
      <w:lvlJc w:val="left"/>
    </w:lvl>
    <w:lvl w:ilvl="4" w:tplc="19BCC232">
      <w:numFmt w:val="decimal"/>
      <w:lvlText w:val=""/>
      <w:lvlJc w:val="left"/>
    </w:lvl>
    <w:lvl w:ilvl="5" w:tplc="A28A0694">
      <w:numFmt w:val="decimal"/>
      <w:lvlText w:val=""/>
      <w:lvlJc w:val="left"/>
    </w:lvl>
    <w:lvl w:ilvl="6" w:tplc="CB2E2524">
      <w:numFmt w:val="decimal"/>
      <w:lvlText w:val=""/>
      <w:lvlJc w:val="left"/>
    </w:lvl>
    <w:lvl w:ilvl="7" w:tplc="33D02CE2">
      <w:numFmt w:val="decimal"/>
      <w:lvlText w:val=""/>
      <w:lvlJc w:val="left"/>
    </w:lvl>
    <w:lvl w:ilvl="8" w:tplc="5B4E1E46">
      <w:numFmt w:val="decimal"/>
      <w:lvlText w:val=""/>
      <w:lvlJc w:val="left"/>
    </w:lvl>
  </w:abstractNum>
  <w:abstractNum w:abstractNumId="1" w15:restartNumberingAfterBreak="0">
    <w:nsid w:val="11D96E27"/>
    <w:multiLevelType w:val="hybridMultilevel"/>
    <w:tmpl w:val="388833B6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D6CA01A">
      <w:numFmt w:val="decimal"/>
      <w:lvlText w:val=""/>
      <w:lvlJc w:val="left"/>
    </w:lvl>
    <w:lvl w:ilvl="2" w:tplc="9148DDA2">
      <w:numFmt w:val="decimal"/>
      <w:lvlText w:val=""/>
      <w:lvlJc w:val="left"/>
    </w:lvl>
    <w:lvl w:ilvl="3" w:tplc="0EFC47CC">
      <w:numFmt w:val="decimal"/>
      <w:lvlText w:val=""/>
      <w:lvlJc w:val="left"/>
    </w:lvl>
    <w:lvl w:ilvl="4" w:tplc="DF9A9352">
      <w:numFmt w:val="decimal"/>
      <w:lvlText w:val=""/>
      <w:lvlJc w:val="left"/>
    </w:lvl>
    <w:lvl w:ilvl="5" w:tplc="16D2E2A0">
      <w:numFmt w:val="decimal"/>
      <w:lvlText w:val=""/>
      <w:lvlJc w:val="left"/>
    </w:lvl>
    <w:lvl w:ilvl="6" w:tplc="B68217A2">
      <w:numFmt w:val="decimal"/>
      <w:lvlText w:val=""/>
      <w:lvlJc w:val="left"/>
    </w:lvl>
    <w:lvl w:ilvl="7" w:tplc="F9D27134">
      <w:numFmt w:val="decimal"/>
      <w:lvlText w:val=""/>
      <w:lvlJc w:val="left"/>
    </w:lvl>
    <w:lvl w:ilvl="8" w:tplc="380214B8">
      <w:numFmt w:val="decimal"/>
      <w:lvlText w:val=""/>
      <w:lvlJc w:val="left"/>
    </w:lvl>
  </w:abstractNum>
  <w:abstractNum w:abstractNumId="2" w15:restartNumberingAfterBreak="0">
    <w:nsid w:val="161D0145"/>
    <w:multiLevelType w:val="hybridMultilevel"/>
    <w:tmpl w:val="B3182DD8"/>
    <w:lvl w:ilvl="0" w:tplc="FED82F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B8ACB26">
      <w:numFmt w:val="decimal"/>
      <w:lvlText w:val=""/>
      <w:lvlJc w:val="left"/>
    </w:lvl>
    <w:lvl w:ilvl="2" w:tplc="EEBEA9F0">
      <w:numFmt w:val="decimal"/>
      <w:lvlText w:val=""/>
      <w:lvlJc w:val="left"/>
    </w:lvl>
    <w:lvl w:ilvl="3" w:tplc="E68892AA">
      <w:numFmt w:val="decimal"/>
      <w:lvlText w:val=""/>
      <w:lvlJc w:val="left"/>
    </w:lvl>
    <w:lvl w:ilvl="4" w:tplc="19BCC232">
      <w:numFmt w:val="decimal"/>
      <w:lvlText w:val=""/>
      <w:lvlJc w:val="left"/>
    </w:lvl>
    <w:lvl w:ilvl="5" w:tplc="A28A0694">
      <w:numFmt w:val="decimal"/>
      <w:lvlText w:val=""/>
      <w:lvlJc w:val="left"/>
    </w:lvl>
    <w:lvl w:ilvl="6" w:tplc="CB2E2524">
      <w:numFmt w:val="decimal"/>
      <w:lvlText w:val=""/>
      <w:lvlJc w:val="left"/>
    </w:lvl>
    <w:lvl w:ilvl="7" w:tplc="33D02CE2">
      <w:numFmt w:val="decimal"/>
      <w:lvlText w:val=""/>
      <w:lvlJc w:val="left"/>
    </w:lvl>
    <w:lvl w:ilvl="8" w:tplc="5B4E1E46">
      <w:numFmt w:val="decimal"/>
      <w:lvlText w:val=""/>
      <w:lvlJc w:val="left"/>
    </w:lvl>
  </w:abstractNum>
  <w:abstractNum w:abstractNumId="3" w15:restartNumberingAfterBreak="0">
    <w:nsid w:val="1E8B6A4C"/>
    <w:multiLevelType w:val="hybridMultilevel"/>
    <w:tmpl w:val="806E9CCA"/>
    <w:lvl w:ilvl="0" w:tplc="9BF219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D6CA01A">
      <w:numFmt w:val="decimal"/>
      <w:lvlText w:val=""/>
      <w:lvlJc w:val="left"/>
    </w:lvl>
    <w:lvl w:ilvl="2" w:tplc="9148DDA2">
      <w:numFmt w:val="decimal"/>
      <w:lvlText w:val=""/>
      <w:lvlJc w:val="left"/>
    </w:lvl>
    <w:lvl w:ilvl="3" w:tplc="0EFC47CC">
      <w:numFmt w:val="decimal"/>
      <w:lvlText w:val=""/>
      <w:lvlJc w:val="left"/>
    </w:lvl>
    <w:lvl w:ilvl="4" w:tplc="DF9A9352">
      <w:numFmt w:val="decimal"/>
      <w:lvlText w:val=""/>
      <w:lvlJc w:val="left"/>
    </w:lvl>
    <w:lvl w:ilvl="5" w:tplc="16D2E2A0">
      <w:numFmt w:val="decimal"/>
      <w:lvlText w:val=""/>
      <w:lvlJc w:val="left"/>
    </w:lvl>
    <w:lvl w:ilvl="6" w:tplc="B68217A2">
      <w:numFmt w:val="decimal"/>
      <w:lvlText w:val=""/>
      <w:lvlJc w:val="left"/>
    </w:lvl>
    <w:lvl w:ilvl="7" w:tplc="F9D27134">
      <w:numFmt w:val="decimal"/>
      <w:lvlText w:val=""/>
      <w:lvlJc w:val="left"/>
    </w:lvl>
    <w:lvl w:ilvl="8" w:tplc="380214B8">
      <w:numFmt w:val="decimal"/>
      <w:lvlText w:val=""/>
      <w:lvlJc w:val="left"/>
    </w:lvl>
  </w:abstractNum>
  <w:abstractNum w:abstractNumId="4" w15:restartNumberingAfterBreak="0">
    <w:nsid w:val="24620691"/>
    <w:multiLevelType w:val="hybridMultilevel"/>
    <w:tmpl w:val="2026A690"/>
    <w:lvl w:ilvl="0" w:tplc="645219DE">
      <w:numFmt w:val="decimal"/>
      <w:lvlText w:val=""/>
      <w:lvlJc w:val="left"/>
    </w:lvl>
    <w:lvl w:ilvl="1" w:tplc="B2B2C35A">
      <w:numFmt w:val="decimal"/>
      <w:lvlText w:val=""/>
      <w:lvlJc w:val="left"/>
    </w:lvl>
    <w:lvl w:ilvl="2" w:tplc="10A60702">
      <w:numFmt w:val="decimal"/>
      <w:lvlText w:val=""/>
      <w:lvlJc w:val="left"/>
    </w:lvl>
    <w:lvl w:ilvl="3" w:tplc="589233D0">
      <w:numFmt w:val="decimal"/>
      <w:lvlText w:val=""/>
      <w:lvlJc w:val="left"/>
    </w:lvl>
    <w:lvl w:ilvl="4" w:tplc="0A781926">
      <w:numFmt w:val="decimal"/>
      <w:lvlText w:val=""/>
      <w:lvlJc w:val="left"/>
    </w:lvl>
    <w:lvl w:ilvl="5" w:tplc="3034BC98">
      <w:numFmt w:val="decimal"/>
      <w:lvlText w:val=""/>
      <w:lvlJc w:val="left"/>
    </w:lvl>
    <w:lvl w:ilvl="6" w:tplc="84EA9670">
      <w:numFmt w:val="decimal"/>
      <w:lvlText w:val=""/>
      <w:lvlJc w:val="left"/>
    </w:lvl>
    <w:lvl w:ilvl="7" w:tplc="D63E7F16">
      <w:numFmt w:val="decimal"/>
      <w:lvlText w:val=""/>
      <w:lvlJc w:val="left"/>
    </w:lvl>
    <w:lvl w:ilvl="8" w:tplc="DFE2623A">
      <w:numFmt w:val="decimal"/>
      <w:lvlText w:val=""/>
      <w:lvlJc w:val="left"/>
    </w:lvl>
  </w:abstractNum>
  <w:abstractNum w:abstractNumId="5" w15:restartNumberingAfterBreak="0">
    <w:nsid w:val="3FB010FE"/>
    <w:multiLevelType w:val="hybridMultilevel"/>
    <w:tmpl w:val="3CD8841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B717153"/>
    <w:multiLevelType w:val="hybridMultilevel"/>
    <w:tmpl w:val="8B0E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3B0F"/>
    <w:multiLevelType w:val="hybridMultilevel"/>
    <w:tmpl w:val="D5024C3C"/>
    <w:lvl w:ilvl="0" w:tplc="F2C65C0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AAE3A2A">
      <w:numFmt w:val="decimal"/>
      <w:lvlText w:val=""/>
      <w:lvlJc w:val="left"/>
    </w:lvl>
    <w:lvl w:ilvl="2" w:tplc="ACF26B62">
      <w:numFmt w:val="decimal"/>
      <w:lvlText w:val=""/>
      <w:lvlJc w:val="left"/>
    </w:lvl>
    <w:lvl w:ilvl="3" w:tplc="F1CCE2CE">
      <w:numFmt w:val="decimal"/>
      <w:lvlText w:val=""/>
      <w:lvlJc w:val="left"/>
    </w:lvl>
    <w:lvl w:ilvl="4" w:tplc="7A520030">
      <w:numFmt w:val="decimal"/>
      <w:lvlText w:val=""/>
      <w:lvlJc w:val="left"/>
    </w:lvl>
    <w:lvl w:ilvl="5" w:tplc="AFDE4654">
      <w:numFmt w:val="decimal"/>
      <w:lvlText w:val=""/>
      <w:lvlJc w:val="left"/>
    </w:lvl>
    <w:lvl w:ilvl="6" w:tplc="705A8CEE">
      <w:numFmt w:val="decimal"/>
      <w:lvlText w:val=""/>
      <w:lvlJc w:val="left"/>
    </w:lvl>
    <w:lvl w:ilvl="7" w:tplc="012A06C8">
      <w:numFmt w:val="decimal"/>
      <w:lvlText w:val=""/>
      <w:lvlJc w:val="left"/>
    </w:lvl>
    <w:lvl w:ilvl="8" w:tplc="657A5EC0">
      <w:numFmt w:val="decimal"/>
      <w:lvlText w:val=""/>
      <w:lvlJc w:val="left"/>
    </w:lvl>
  </w:abstractNum>
  <w:abstractNum w:abstractNumId="8" w15:restartNumberingAfterBreak="0">
    <w:nsid w:val="5FAB68A1"/>
    <w:multiLevelType w:val="hybridMultilevel"/>
    <w:tmpl w:val="76EA8EE4"/>
    <w:lvl w:ilvl="0" w:tplc="38EC3A9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78CC2FC">
      <w:numFmt w:val="decimal"/>
      <w:lvlText w:val=""/>
      <w:lvlJc w:val="left"/>
    </w:lvl>
    <w:lvl w:ilvl="2" w:tplc="B8D0B21C">
      <w:numFmt w:val="decimal"/>
      <w:lvlText w:val=""/>
      <w:lvlJc w:val="left"/>
    </w:lvl>
    <w:lvl w:ilvl="3" w:tplc="6BC85EA6">
      <w:numFmt w:val="decimal"/>
      <w:lvlText w:val=""/>
      <w:lvlJc w:val="left"/>
    </w:lvl>
    <w:lvl w:ilvl="4" w:tplc="A14444BA">
      <w:numFmt w:val="decimal"/>
      <w:lvlText w:val=""/>
      <w:lvlJc w:val="left"/>
    </w:lvl>
    <w:lvl w:ilvl="5" w:tplc="0994B0B6">
      <w:numFmt w:val="decimal"/>
      <w:lvlText w:val=""/>
      <w:lvlJc w:val="left"/>
    </w:lvl>
    <w:lvl w:ilvl="6" w:tplc="E2B60362">
      <w:numFmt w:val="decimal"/>
      <w:lvlText w:val=""/>
      <w:lvlJc w:val="left"/>
    </w:lvl>
    <w:lvl w:ilvl="7" w:tplc="2200BB96">
      <w:numFmt w:val="decimal"/>
      <w:lvlText w:val=""/>
      <w:lvlJc w:val="left"/>
    </w:lvl>
    <w:lvl w:ilvl="8" w:tplc="D7D2235E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7A"/>
    <w:rsid w:val="000A717A"/>
    <w:rsid w:val="001206B6"/>
    <w:rsid w:val="001D462C"/>
    <w:rsid w:val="003A1816"/>
    <w:rsid w:val="00B257ED"/>
    <w:rsid w:val="00E35CCE"/>
    <w:rsid w:val="00F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B212"/>
  <w15:docId w15:val="{28D3161E-CDED-4321-AF13-261DD5BF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rsid w:val="001D46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4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OSB</cp:lastModifiedBy>
  <cp:revision>3</cp:revision>
  <dcterms:created xsi:type="dcterms:W3CDTF">2026-04-10T05:46:00Z</dcterms:created>
  <dcterms:modified xsi:type="dcterms:W3CDTF">2026-04-10T05:47:00Z</dcterms:modified>
</cp:coreProperties>
</file>