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AB899" w14:textId="03AFBB00" w:rsidR="00C3096D" w:rsidRPr="00206D26" w:rsidRDefault="008E075D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075D">
        <w:rPr>
          <w:rFonts w:ascii="Times New Roman" w:hAnsi="Times New Roman" w:cs="Times New Roman"/>
          <w:b/>
          <w:sz w:val="24"/>
          <w:szCs w:val="24"/>
        </w:rPr>
        <w:t>ДЕМОГРАФИЧЕСКИЙ СДВИГ И СТАРЕНИЕ НАСЕЛЕНИЯ: КАК РЕГИОНАЛЬНЫЕ РЫНКИ ТРУДА АДАПТИР</w:t>
      </w:r>
      <w:r w:rsidR="00D34A7B">
        <w:rPr>
          <w:rFonts w:ascii="Times New Roman" w:hAnsi="Times New Roman" w:cs="Times New Roman"/>
          <w:b/>
          <w:sz w:val="24"/>
          <w:szCs w:val="24"/>
        </w:rPr>
        <w:t>УЮТСЯ К ДЕФИЦИТУ МОЛОДЫХ КАДРОВ</w:t>
      </w:r>
    </w:p>
    <w:p w14:paraId="6948B287" w14:textId="4C291313" w:rsidR="00C3096D" w:rsidRPr="008E075D" w:rsidRDefault="008E075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>Иванова Д. И.</w:t>
      </w:r>
    </w:p>
    <w:p w14:paraId="24F5C314" w14:textId="77777777" w:rsidR="00C3096D" w:rsidRPr="008E075D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4497BF90" w:rsidR="00C3096D" w:rsidRPr="008E075D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="0001348B" w:rsidRPr="008E075D">
        <w:rPr>
          <w:rFonts w:ascii="Times New Roman" w:hAnsi="Times New Roman" w:cs="Times New Roman"/>
          <w:i/>
          <w:sz w:val="24"/>
          <w:szCs w:val="24"/>
        </w:rPr>
        <w:t>Таусова</w:t>
      </w:r>
      <w:proofErr w:type="spellEnd"/>
      <w:r w:rsidR="0001348B" w:rsidRPr="008E075D">
        <w:rPr>
          <w:rFonts w:ascii="Times New Roman" w:hAnsi="Times New Roman" w:cs="Times New Roman"/>
          <w:i/>
          <w:sz w:val="24"/>
          <w:szCs w:val="24"/>
        </w:rPr>
        <w:t xml:space="preserve"> И. Ф.</w:t>
      </w:r>
    </w:p>
    <w:p w14:paraId="1D3146E0" w14:textId="789A651E" w:rsidR="00C3096D" w:rsidRPr="008E075D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>к.</w:t>
      </w:r>
      <w:r w:rsidR="0001348B" w:rsidRPr="008E075D">
        <w:rPr>
          <w:rFonts w:ascii="Times New Roman" w:hAnsi="Times New Roman" w:cs="Times New Roman"/>
          <w:i/>
          <w:sz w:val="24"/>
          <w:szCs w:val="24"/>
        </w:rPr>
        <w:t>э</w:t>
      </w:r>
      <w:r w:rsidRPr="008E075D">
        <w:rPr>
          <w:rFonts w:ascii="Times New Roman" w:hAnsi="Times New Roman" w:cs="Times New Roman"/>
          <w:i/>
          <w:sz w:val="24"/>
          <w:szCs w:val="24"/>
        </w:rPr>
        <w:t>.н., доцент, Адыгейский государственный университет, г. Майкоп</w:t>
      </w:r>
    </w:p>
    <w:p w14:paraId="05EFE284" w14:textId="77777777" w:rsidR="005D4DF8" w:rsidRPr="008E075D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4298DA" w14:textId="71910A0C" w:rsidR="008E075D" w:rsidRPr="008E075D" w:rsidRDefault="00641321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Актуальность. </w:t>
      </w:r>
      <w:r w:rsidR="008E075D" w:rsidRPr="008E075D">
        <w:rPr>
          <w:rFonts w:ascii="Times New Roman" w:hAnsi="Times New Roman" w:cs="Times New Roman"/>
          <w:sz w:val="24"/>
          <w:szCs w:val="24"/>
        </w:rPr>
        <w:t xml:space="preserve">Демографическое старение становится одним из главных вызовов для социально-экономического развития субъектов Российской Федерации. Для Республики Адыгея эта проблема стоит особенно остро. Согласно данным </w:t>
      </w:r>
      <w:proofErr w:type="spellStart"/>
      <w:r w:rsidR="008E075D" w:rsidRPr="008E075D">
        <w:rPr>
          <w:rFonts w:ascii="Times New Roman" w:hAnsi="Times New Roman" w:cs="Times New Roman"/>
          <w:sz w:val="24"/>
          <w:szCs w:val="24"/>
        </w:rPr>
        <w:t>Краснодарстата</w:t>
      </w:r>
      <w:proofErr w:type="spellEnd"/>
      <w:r w:rsidR="008E075D" w:rsidRPr="008E075D">
        <w:rPr>
          <w:rFonts w:ascii="Times New Roman" w:hAnsi="Times New Roman" w:cs="Times New Roman"/>
          <w:sz w:val="24"/>
          <w:szCs w:val="24"/>
        </w:rPr>
        <w:t>, только за период 2022-2023 годов доля населения в возрасте 60 лет и старше в регионе увеличилась с 21,9% до 22,3%, а абсолютная численность данной возрастной когорты достигла 113,4 тыс. человек [</w:t>
      </w:r>
      <w:r w:rsidR="008E075D">
        <w:rPr>
          <w:rFonts w:ascii="Times New Roman" w:hAnsi="Times New Roman" w:cs="Times New Roman"/>
          <w:sz w:val="24"/>
          <w:szCs w:val="24"/>
        </w:rPr>
        <w:t>2</w:t>
      </w:r>
      <w:r w:rsidR="008E075D" w:rsidRPr="008E075D">
        <w:rPr>
          <w:rFonts w:ascii="Times New Roman" w:hAnsi="Times New Roman" w:cs="Times New Roman"/>
          <w:sz w:val="24"/>
          <w:szCs w:val="24"/>
        </w:rPr>
        <w:t>]. Парадоксальность ситуации заключается в том, что столь интенсивный процесс старения происходит на фоне рекордно низкой безработицы (0,3% от численности рабочей силы в 2024 году) и одновременного обострения кадрового голода в ключевых отраслях экономики. Как отмечается в официальном прогнозе, потребность экономики Республики Адыгея в новых работниках к 2032 году составит почти 9 тысяч человек, причем основная нехватка будет ощущаться в обрабатывающей промышленности, сельском хозяйстве и социальной сфере [</w:t>
      </w:r>
      <w:r w:rsidR="00C93892">
        <w:rPr>
          <w:rFonts w:ascii="Times New Roman" w:hAnsi="Times New Roman" w:cs="Times New Roman"/>
          <w:sz w:val="24"/>
          <w:szCs w:val="24"/>
        </w:rPr>
        <w:t>3</w:t>
      </w:r>
      <w:r w:rsidR="008E075D" w:rsidRPr="008E075D">
        <w:rPr>
          <w:rFonts w:ascii="Times New Roman" w:hAnsi="Times New Roman" w:cs="Times New Roman"/>
          <w:sz w:val="24"/>
          <w:szCs w:val="24"/>
        </w:rPr>
        <w:t>]. В этих условиях исследование механизмов адаптации регионального рынка труда к дефициту молодых кадров приобретает высокую научную и практическую значимость.</w:t>
      </w:r>
    </w:p>
    <w:p w14:paraId="52EEC414" w14:textId="3B877C1F" w:rsidR="008E075D" w:rsidRPr="008E075D" w:rsidRDefault="00641321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1321">
        <w:rPr>
          <w:rFonts w:ascii="Times New Roman" w:hAnsi="Times New Roman" w:cs="Times New Roman"/>
          <w:b/>
          <w:bCs/>
          <w:sz w:val="24"/>
          <w:szCs w:val="24"/>
        </w:rPr>
        <w:t xml:space="preserve">Степень </w:t>
      </w:r>
      <w:r>
        <w:rPr>
          <w:rFonts w:ascii="Times New Roman" w:hAnsi="Times New Roman" w:cs="Times New Roman"/>
          <w:b/>
          <w:bCs/>
          <w:sz w:val="24"/>
          <w:szCs w:val="24"/>
        </w:rPr>
        <w:t>изученности</w:t>
      </w:r>
      <w:r w:rsidRPr="0064132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75D" w:rsidRPr="008E075D">
        <w:rPr>
          <w:rFonts w:ascii="Times New Roman" w:hAnsi="Times New Roman" w:cs="Times New Roman"/>
          <w:sz w:val="24"/>
          <w:szCs w:val="24"/>
        </w:rPr>
        <w:t>Теоретико-методологическая база изучения демографического старения на общероссийском уровне представлена достаточно широко, в том числе в контексте взаимосвязи миграционных процессов и возрастной структуры населения [</w:t>
      </w:r>
      <w:r w:rsidR="00C93892">
        <w:rPr>
          <w:rFonts w:ascii="Times New Roman" w:hAnsi="Times New Roman" w:cs="Times New Roman"/>
          <w:sz w:val="24"/>
          <w:szCs w:val="24"/>
        </w:rPr>
        <w:t>4</w:t>
      </w:r>
      <w:r w:rsidR="008E075D" w:rsidRPr="008E075D">
        <w:rPr>
          <w:rFonts w:ascii="Times New Roman" w:hAnsi="Times New Roman" w:cs="Times New Roman"/>
          <w:sz w:val="24"/>
          <w:szCs w:val="24"/>
        </w:rPr>
        <w:t xml:space="preserve">]. Что касается непосредственно Республики Адыгея, то демографическая динамика в разрезе муниципальных районов была подробно проанализирована В.Н. </w:t>
      </w:r>
      <w:proofErr w:type="spellStart"/>
      <w:r w:rsidR="008E075D" w:rsidRPr="008E075D">
        <w:rPr>
          <w:rFonts w:ascii="Times New Roman" w:hAnsi="Times New Roman" w:cs="Times New Roman"/>
          <w:sz w:val="24"/>
          <w:szCs w:val="24"/>
        </w:rPr>
        <w:t>Ракачевым</w:t>
      </w:r>
      <w:proofErr w:type="spellEnd"/>
      <w:r w:rsidR="008E075D" w:rsidRPr="008E075D">
        <w:rPr>
          <w:rFonts w:ascii="Times New Roman" w:hAnsi="Times New Roman" w:cs="Times New Roman"/>
          <w:sz w:val="24"/>
          <w:szCs w:val="24"/>
        </w:rPr>
        <w:t xml:space="preserve"> и Я.В. </w:t>
      </w:r>
      <w:proofErr w:type="spellStart"/>
      <w:r w:rsidR="008E075D" w:rsidRPr="008E075D">
        <w:rPr>
          <w:rFonts w:ascii="Times New Roman" w:hAnsi="Times New Roman" w:cs="Times New Roman"/>
          <w:sz w:val="24"/>
          <w:szCs w:val="24"/>
        </w:rPr>
        <w:t>Ракачевой</w:t>
      </w:r>
      <w:proofErr w:type="spellEnd"/>
      <w:r w:rsidR="008E075D" w:rsidRPr="008E075D">
        <w:rPr>
          <w:rFonts w:ascii="Times New Roman" w:hAnsi="Times New Roman" w:cs="Times New Roman"/>
          <w:sz w:val="24"/>
          <w:szCs w:val="24"/>
        </w:rPr>
        <w:t xml:space="preserve"> на временном промежутке второй половины XX — начала XXI веков [</w:t>
      </w:r>
      <w:r w:rsidR="00C93892">
        <w:rPr>
          <w:rFonts w:ascii="Times New Roman" w:hAnsi="Times New Roman" w:cs="Times New Roman"/>
          <w:sz w:val="24"/>
          <w:szCs w:val="24"/>
        </w:rPr>
        <w:t>1</w:t>
      </w:r>
      <w:r w:rsidR="008E075D" w:rsidRPr="008E075D">
        <w:rPr>
          <w:rFonts w:ascii="Times New Roman" w:hAnsi="Times New Roman" w:cs="Times New Roman"/>
          <w:sz w:val="24"/>
          <w:szCs w:val="24"/>
        </w:rPr>
        <w:t>]. Однако в данной работе акцент сделан на исторической ретроспективе и пространственной дифференциации численности населения, тогда как современное состояние рынка труда и его реакция на демографический сдвиг остались за рамками анализа. Таким образом, несмотря на наличие отдельных статистических сведений [</w:t>
      </w:r>
      <w:r w:rsidR="00C93892">
        <w:rPr>
          <w:rFonts w:ascii="Times New Roman" w:hAnsi="Times New Roman" w:cs="Times New Roman"/>
          <w:sz w:val="24"/>
          <w:szCs w:val="24"/>
        </w:rPr>
        <w:t>2</w:t>
      </w:r>
      <w:r w:rsidR="008E075D" w:rsidRPr="008E075D">
        <w:rPr>
          <w:rFonts w:ascii="Times New Roman" w:hAnsi="Times New Roman" w:cs="Times New Roman"/>
          <w:sz w:val="24"/>
          <w:szCs w:val="24"/>
        </w:rPr>
        <w:t xml:space="preserve">; </w:t>
      </w:r>
      <w:r w:rsidR="00C93892">
        <w:rPr>
          <w:rFonts w:ascii="Times New Roman" w:hAnsi="Times New Roman" w:cs="Times New Roman"/>
          <w:sz w:val="24"/>
          <w:szCs w:val="24"/>
        </w:rPr>
        <w:t>3</w:t>
      </w:r>
      <w:r w:rsidR="008E075D" w:rsidRPr="008E075D">
        <w:rPr>
          <w:rFonts w:ascii="Times New Roman" w:hAnsi="Times New Roman" w:cs="Times New Roman"/>
          <w:sz w:val="24"/>
          <w:szCs w:val="24"/>
        </w:rPr>
        <w:t>] и обобщающих работ по России [</w:t>
      </w:r>
      <w:r w:rsidR="00C93892">
        <w:rPr>
          <w:rFonts w:ascii="Times New Roman" w:hAnsi="Times New Roman" w:cs="Times New Roman"/>
          <w:sz w:val="24"/>
          <w:szCs w:val="24"/>
        </w:rPr>
        <w:t>4</w:t>
      </w:r>
      <w:r w:rsidR="008E075D" w:rsidRPr="008E075D">
        <w:rPr>
          <w:rFonts w:ascii="Times New Roman" w:hAnsi="Times New Roman" w:cs="Times New Roman"/>
          <w:sz w:val="24"/>
          <w:szCs w:val="24"/>
        </w:rPr>
        <w:t xml:space="preserve">], в научной литературе отсутствует комплексное исследование, связывающее актуальные показатели старения населения в Адыгее (после 2021 г.) с механизмами адаптации региональной экономики к сокращению доли молодежи. </w:t>
      </w:r>
    </w:p>
    <w:p w14:paraId="2CE507C9" w14:textId="582ADD71" w:rsidR="008E075D" w:rsidRPr="008E075D" w:rsidRDefault="008E075D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132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E075D">
        <w:rPr>
          <w:rFonts w:ascii="Times New Roman" w:hAnsi="Times New Roman" w:cs="Times New Roman"/>
          <w:sz w:val="24"/>
          <w:szCs w:val="24"/>
        </w:rPr>
        <w:t xml:space="preserve"> исследования — выявить особенности влияния демографического сдвига в сторону старения на состояние регионального рынка труда Республики Адыгея и определить основные стратегии его адаптации к дефициту молодых кадров.</w:t>
      </w:r>
    </w:p>
    <w:p w14:paraId="69687FA9" w14:textId="77777777" w:rsidR="008E075D" w:rsidRPr="008E075D" w:rsidRDefault="008E075D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 xml:space="preserve">Для достижения цели поставлены следующие </w:t>
      </w:r>
      <w:r w:rsidRPr="00641321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8E075D">
        <w:rPr>
          <w:rFonts w:ascii="Times New Roman" w:hAnsi="Times New Roman" w:cs="Times New Roman"/>
          <w:sz w:val="24"/>
          <w:szCs w:val="24"/>
        </w:rPr>
        <w:t>:</w:t>
      </w:r>
    </w:p>
    <w:p w14:paraId="68F667D5" w14:textId="6D8AAF2B" w:rsidR="008E075D" w:rsidRPr="008E075D" w:rsidRDefault="008E075D" w:rsidP="008E075D">
      <w:pPr>
        <w:pStyle w:val="WW-"/>
        <w:numPr>
          <w:ilvl w:val="0"/>
          <w:numId w:val="1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>Проанализировать динамику возрастной структуры населения Адыгеи в 2022-2024 гг. на основе данных официальной статистики.</w:t>
      </w:r>
    </w:p>
    <w:p w14:paraId="4FFA56BB" w14:textId="7FEAE312" w:rsidR="008E075D" w:rsidRPr="008E075D" w:rsidRDefault="008E075D" w:rsidP="008E075D">
      <w:pPr>
        <w:pStyle w:val="WW-"/>
        <w:numPr>
          <w:ilvl w:val="0"/>
          <w:numId w:val="1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>Оценить масштаб текущего и перспективного кадрового дефицита в разрезе отраслей экономики региона.</w:t>
      </w:r>
    </w:p>
    <w:p w14:paraId="51DE238B" w14:textId="2180FCC6" w:rsidR="008E075D" w:rsidRPr="008E075D" w:rsidRDefault="00641321" w:rsidP="008E075D">
      <w:pPr>
        <w:pStyle w:val="WW-"/>
        <w:numPr>
          <w:ilvl w:val="0"/>
          <w:numId w:val="1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321">
        <w:rPr>
          <w:rFonts w:ascii="Times New Roman" w:hAnsi="Times New Roman" w:cs="Times New Roman"/>
          <w:sz w:val="24"/>
          <w:szCs w:val="24"/>
        </w:rPr>
        <w:t xml:space="preserve">Выявить, за </w:t>
      </w:r>
      <w:proofErr w:type="gramStart"/>
      <w:r w:rsidRPr="00641321">
        <w:rPr>
          <w:rFonts w:ascii="Times New Roman" w:hAnsi="Times New Roman" w:cs="Times New Roman"/>
          <w:sz w:val="24"/>
          <w:szCs w:val="24"/>
        </w:rPr>
        <w:t>счёт</w:t>
      </w:r>
      <w:proofErr w:type="gramEnd"/>
      <w:r w:rsidRPr="00641321">
        <w:rPr>
          <w:rFonts w:ascii="Times New Roman" w:hAnsi="Times New Roman" w:cs="Times New Roman"/>
          <w:sz w:val="24"/>
          <w:szCs w:val="24"/>
        </w:rPr>
        <w:t xml:space="preserve"> каких конкретных механизмов рынок труда Адыгеи компенсирует сокращение численности молодёжи в условиях растущей демографической нагрузки</w:t>
      </w:r>
      <w:r w:rsidR="008E075D" w:rsidRPr="008E075D">
        <w:rPr>
          <w:rFonts w:ascii="Times New Roman" w:hAnsi="Times New Roman" w:cs="Times New Roman"/>
          <w:sz w:val="24"/>
          <w:szCs w:val="24"/>
        </w:rPr>
        <w:t>.</w:t>
      </w:r>
    </w:p>
    <w:p w14:paraId="591CF4EA" w14:textId="5F8B4E88" w:rsidR="008E075D" w:rsidRPr="008E075D" w:rsidRDefault="008E075D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1321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8E075D">
        <w:rPr>
          <w:rFonts w:ascii="Times New Roman" w:hAnsi="Times New Roman" w:cs="Times New Roman"/>
          <w:sz w:val="24"/>
          <w:szCs w:val="24"/>
        </w:rPr>
        <w:t xml:space="preserve">. Методологическую основу работы составил статистический анализ временных рядов данных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Краснодарстата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о возрастно-половом составе населения и уровне занятости в Республике Адыгея [</w:t>
      </w:r>
      <w:r w:rsidR="00C93892">
        <w:rPr>
          <w:rFonts w:ascii="Times New Roman" w:hAnsi="Times New Roman" w:cs="Times New Roman"/>
          <w:sz w:val="24"/>
          <w:szCs w:val="24"/>
        </w:rPr>
        <w:t>2</w:t>
      </w:r>
      <w:r w:rsidRPr="008E075D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Pr="008E075D">
        <w:rPr>
          <w:rFonts w:ascii="Times New Roman" w:hAnsi="Times New Roman" w:cs="Times New Roman"/>
          <w:sz w:val="24"/>
          <w:szCs w:val="24"/>
        </w:rPr>
        <w:t>Для выявления перспективной потребности экономики в трудовых ресурсах использован контент-анализ отраслевого прогноза кадровой потребности на период 2023-2032 гг. [</w:t>
      </w:r>
      <w:r w:rsidR="00C93892">
        <w:rPr>
          <w:rFonts w:ascii="Times New Roman" w:hAnsi="Times New Roman" w:cs="Times New Roman"/>
          <w:sz w:val="24"/>
          <w:szCs w:val="24"/>
        </w:rPr>
        <w:t>3</w:t>
      </w:r>
      <w:r w:rsidRPr="008E075D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8E075D">
        <w:rPr>
          <w:rFonts w:ascii="Times New Roman" w:hAnsi="Times New Roman" w:cs="Times New Roman"/>
          <w:sz w:val="24"/>
          <w:szCs w:val="24"/>
        </w:rPr>
        <w:t xml:space="preserve"> Кроме того, применен сравнительно-</w:t>
      </w:r>
      <w:r w:rsidRPr="008E075D">
        <w:rPr>
          <w:rFonts w:ascii="Times New Roman" w:hAnsi="Times New Roman" w:cs="Times New Roman"/>
          <w:sz w:val="24"/>
          <w:szCs w:val="24"/>
        </w:rPr>
        <w:lastRenderedPageBreak/>
        <w:t xml:space="preserve">сопоставительный метод, позволивший рассмотреть адыгейские показатели в контексте общероссийской тенденции взаимосвязи миграции и демографического старения, описанной в работе О.Д. Воробьевой, А.В.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Топилина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и соавторов [</w:t>
      </w:r>
      <w:r w:rsidR="00C93892">
        <w:rPr>
          <w:rFonts w:ascii="Times New Roman" w:hAnsi="Times New Roman" w:cs="Times New Roman"/>
          <w:sz w:val="24"/>
          <w:szCs w:val="24"/>
        </w:rPr>
        <w:t>4</w:t>
      </w:r>
      <w:r w:rsidRPr="008E075D">
        <w:rPr>
          <w:rFonts w:ascii="Times New Roman" w:hAnsi="Times New Roman" w:cs="Times New Roman"/>
          <w:sz w:val="24"/>
          <w:szCs w:val="24"/>
        </w:rPr>
        <w:t xml:space="preserve">]. Данные о долговременных демографических трендах в муниципальных образованиях региона были верифицированы через обращение к выводам В.Н.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Ракачева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и Я.В.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Ракачевой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[</w:t>
      </w:r>
      <w:r w:rsidR="00C93892">
        <w:rPr>
          <w:rFonts w:ascii="Times New Roman" w:hAnsi="Times New Roman" w:cs="Times New Roman"/>
          <w:sz w:val="24"/>
          <w:szCs w:val="24"/>
        </w:rPr>
        <w:t>1</w:t>
      </w:r>
      <w:r w:rsidRPr="008E075D">
        <w:rPr>
          <w:rFonts w:ascii="Times New Roman" w:hAnsi="Times New Roman" w:cs="Times New Roman"/>
          <w:sz w:val="24"/>
          <w:szCs w:val="24"/>
        </w:rPr>
        <w:t>].</w:t>
      </w:r>
    </w:p>
    <w:p w14:paraId="46ECA015" w14:textId="254BB6BE" w:rsidR="008E075D" w:rsidRPr="008E075D" w:rsidRDefault="008E075D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 xml:space="preserve">Проведенное исследование позволило получить следующие </w:t>
      </w:r>
      <w:r w:rsidRPr="00641321">
        <w:rPr>
          <w:rFonts w:ascii="Times New Roman" w:hAnsi="Times New Roman" w:cs="Times New Roman"/>
          <w:b/>
          <w:bCs/>
          <w:sz w:val="24"/>
          <w:szCs w:val="24"/>
        </w:rPr>
        <w:t>научные результаты</w:t>
      </w:r>
      <w:r w:rsidRPr="008E075D">
        <w:rPr>
          <w:rFonts w:ascii="Times New Roman" w:hAnsi="Times New Roman" w:cs="Times New Roman"/>
          <w:sz w:val="24"/>
          <w:szCs w:val="24"/>
        </w:rPr>
        <w:t>.</w:t>
      </w:r>
    </w:p>
    <w:p w14:paraId="7EC60EC1" w14:textId="10B15C8B" w:rsidR="008E075D" w:rsidRPr="008E075D" w:rsidRDefault="00C93892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E075D" w:rsidRPr="008E075D">
        <w:rPr>
          <w:rFonts w:ascii="Times New Roman" w:hAnsi="Times New Roman" w:cs="Times New Roman"/>
          <w:sz w:val="24"/>
          <w:szCs w:val="24"/>
        </w:rPr>
        <w:t>емографический сдвиг в Адыгее носит устойчивый и нарастающий характер. Доля лиц в возрасте 60 лет и старше превысила пятую часть всего населения региона (22,3%), причем фиксируется значительный гендерный дисбаланс: численность женщин в старшей возрастной когорте в 1,6 раза превышает численность мужчин [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075D" w:rsidRPr="008E075D">
        <w:rPr>
          <w:rFonts w:ascii="Times New Roman" w:hAnsi="Times New Roman" w:cs="Times New Roman"/>
          <w:sz w:val="24"/>
          <w:szCs w:val="24"/>
        </w:rPr>
        <w:t xml:space="preserve">]. Это подтверждает выводы В.Н. </w:t>
      </w:r>
      <w:proofErr w:type="spellStart"/>
      <w:r w:rsidR="008E075D" w:rsidRPr="008E075D">
        <w:rPr>
          <w:rFonts w:ascii="Times New Roman" w:hAnsi="Times New Roman" w:cs="Times New Roman"/>
          <w:sz w:val="24"/>
          <w:szCs w:val="24"/>
        </w:rPr>
        <w:t>Ракачева</w:t>
      </w:r>
      <w:proofErr w:type="spellEnd"/>
      <w:r w:rsidR="008E075D" w:rsidRPr="008E075D">
        <w:rPr>
          <w:rFonts w:ascii="Times New Roman" w:hAnsi="Times New Roman" w:cs="Times New Roman"/>
          <w:sz w:val="24"/>
          <w:szCs w:val="24"/>
        </w:rPr>
        <w:t xml:space="preserve"> и Я.В. </w:t>
      </w:r>
      <w:proofErr w:type="spellStart"/>
      <w:r w:rsidR="008E075D" w:rsidRPr="008E075D">
        <w:rPr>
          <w:rFonts w:ascii="Times New Roman" w:hAnsi="Times New Roman" w:cs="Times New Roman"/>
          <w:sz w:val="24"/>
          <w:szCs w:val="24"/>
        </w:rPr>
        <w:t>Ракачевой</w:t>
      </w:r>
      <w:proofErr w:type="spellEnd"/>
      <w:r w:rsidR="008E075D" w:rsidRPr="008E075D">
        <w:rPr>
          <w:rFonts w:ascii="Times New Roman" w:hAnsi="Times New Roman" w:cs="Times New Roman"/>
          <w:sz w:val="24"/>
          <w:szCs w:val="24"/>
        </w:rPr>
        <w:t xml:space="preserve"> о трансформации демографической структуры республики в сторону постарения, но демонстрирует более высокие темпы этого процесса в последние годы [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075D" w:rsidRPr="008E075D">
        <w:rPr>
          <w:rFonts w:ascii="Times New Roman" w:hAnsi="Times New Roman" w:cs="Times New Roman"/>
          <w:sz w:val="24"/>
          <w:szCs w:val="24"/>
        </w:rPr>
        <w:t>].</w:t>
      </w:r>
    </w:p>
    <w:p w14:paraId="0F310D1C" w14:textId="1F07DB1C" w:rsidR="008E075D" w:rsidRPr="008E075D" w:rsidRDefault="00C93892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E075D" w:rsidRPr="008E075D">
        <w:rPr>
          <w:rFonts w:ascii="Times New Roman" w:hAnsi="Times New Roman" w:cs="Times New Roman"/>
          <w:sz w:val="24"/>
          <w:szCs w:val="24"/>
        </w:rPr>
        <w:t>ынок труда Адыгеи входит в фазу «перегрева» и острого кадрового голода. Уровень зарегистрированной безработицы снизился до исторического минимума (0,3-0,4% от численности рабочей силы), что практически исключает наличие свободного резерва молодых соискателей на бирже труда [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075D" w:rsidRPr="008E075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E075D" w:rsidRPr="008E075D">
        <w:rPr>
          <w:rFonts w:ascii="Times New Roman" w:hAnsi="Times New Roman" w:cs="Times New Roman"/>
          <w:sz w:val="24"/>
          <w:szCs w:val="24"/>
        </w:rPr>
        <w:t>]. Согласно прогнозным оценкам, до 2032 года экономике региона дополнительно потребуется 9 058 квалифицированных работников, при этом наибольший спрос предъявляется на специалистов со средним профессиональным образованием для обрабатывающих производств и аграрного сектора [</w:t>
      </w:r>
      <w:r>
        <w:rPr>
          <w:rFonts w:ascii="Times New Roman" w:hAnsi="Times New Roman" w:cs="Times New Roman"/>
          <w:sz w:val="24"/>
          <w:szCs w:val="24"/>
        </w:rPr>
        <w:t>3</w:t>
      </w:r>
      <w:r w:rsidR="008E075D" w:rsidRPr="008E075D">
        <w:rPr>
          <w:rFonts w:ascii="Times New Roman" w:hAnsi="Times New Roman" w:cs="Times New Roman"/>
          <w:sz w:val="24"/>
          <w:szCs w:val="24"/>
        </w:rPr>
        <w:t>].</w:t>
      </w:r>
    </w:p>
    <w:p w14:paraId="67D09C8C" w14:textId="6C6E0601" w:rsidR="008E075D" w:rsidRDefault="00C93892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E075D" w:rsidRPr="008E075D">
        <w:rPr>
          <w:rFonts w:ascii="Times New Roman" w:hAnsi="Times New Roman" w:cs="Times New Roman"/>
          <w:sz w:val="24"/>
          <w:szCs w:val="24"/>
        </w:rPr>
        <w:t>ыявлены два основных вектора адаптации регионального рынка труда. Первый вектор — это «вынужденная активизация» трудового потенциала старшего поколения. Как показывают общероссийские исследования, в регионах с высокой долей пожилого населения происходит закономерное увеличение экономической активности лиц пенсионного возраста, что является прямым следствием демографического старения и миграционного оттока молодежи [</w:t>
      </w:r>
      <w:r>
        <w:rPr>
          <w:rFonts w:ascii="Times New Roman" w:hAnsi="Times New Roman" w:cs="Times New Roman"/>
          <w:sz w:val="24"/>
          <w:szCs w:val="24"/>
        </w:rPr>
        <w:t>4</w:t>
      </w:r>
      <w:r w:rsidR="008E075D" w:rsidRPr="008E075D">
        <w:rPr>
          <w:rFonts w:ascii="Times New Roman" w:hAnsi="Times New Roman" w:cs="Times New Roman"/>
          <w:sz w:val="24"/>
          <w:szCs w:val="24"/>
        </w:rPr>
        <w:t>]. В Адыгее это выражается в более активном привлечении работников старших возрастных гру</w:t>
      </w:r>
      <w:proofErr w:type="gramStart"/>
      <w:r w:rsidR="008E075D" w:rsidRPr="008E075D">
        <w:rPr>
          <w:rFonts w:ascii="Times New Roman" w:hAnsi="Times New Roman" w:cs="Times New Roman"/>
          <w:sz w:val="24"/>
          <w:szCs w:val="24"/>
        </w:rPr>
        <w:t>пп в сф</w:t>
      </w:r>
      <w:proofErr w:type="gramEnd"/>
      <w:r w:rsidR="008E075D" w:rsidRPr="008E075D">
        <w:rPr>
          <w:rFonts w:ascii="Times New Roman" w:hAnsi="Times New Roman" w:cs="Times New Roman"/>
          <w:sz w:val="24"/>
          <w:szCs w:val="24"/>
        </w:rPr>
        <w:t>еру здравоохранения и бюджетные учреждения. Второй вектор — институциональная перестройка системы подготовки кадров, отраженная в корректировке контрольных цифр приема в колледжи региона под нужды конкретных предприятий-работодателей [</w:t>
      </w:r>
      <w:r>
        <w:rPr>
          <w:rFonts w:ascii="Times New Roman" w:hAnsi="Times New Roman" w:cs="Times New Roman"/>
          <w:sz w:val="24"/>
          <w:szCs w:val="24"/>
        </w:rPr>
        <w:t>3</w:t>
      </w:r>
      <w:r w:rsidR="008E075D" w:rsidRPr="008E075D">
        <w:rPr>
          <w:rFonts w:ascii="Times New Roman" w:hAnsi="Times New Roman" w:cs="Times New Roman"/>
          <w:sz w:val="24"/>
          <w:szCs w:val="24"/>
        </w:rPr>
        <w:t>].</w:t>
      </w:r>
    </w:p>
    <w:p w14:paraId="53E9388B" w14:textId="75D7FF17" w:rsidR="00641321" w:rsidRPr="008E075D" w:rsidRDefault="00641321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1321">
        <w:rPr>
          <w:rFonts w:ascii="Times New Roman" w:hAnsi="Times New Roman" w:cs="Times New Roman"/>
          <w:sz w:val="24"/>
          <w:szCs w:val="24"/>
        </w:rPr>
        <w:t>Одновременно фиксируется трансформация структуры спроса на профессии: на фоне общего сокращения численности молодых соискателей наиболее остро ощущается нехватка специалистов рабочих специальностей и среднего звена в обрабатывающем секторе, что вынуждает работодателей пересматривать квалификационные требования к возрастным кандидатам [4]. Происходит постепенное смещение вакансий от высококвалифицированных позиций, традиционно занимаемых молодёжью с высшим образованием, в сторону рабочих мест, доступных для переобучения лиц старшего возраста.</w:t>
      </w:r>
    </w:p>
    <w:p w14:paraId="49129B99" w14:textId="3C8A6B86" w:rsidR="008E075D" w:rsidRPr="008E075D" w:rsidRDefault="008E075D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>Таким образом, главный научный вывод заключается в следующем: Республика Адыгея демонстрирует модель адаптации рынка труда к демографическому старению, основанную не столько на технологическом перевооружении и сокращении потребности в живом труде, сколько на максимально полном вовлечении в экономику сохранившегося человеческого ресурса старших возрастов при дефиците альтернативных источников пополнения рабочей силы. Дальнейшее углубление демографического сдвига, зафиксированное статистикой [</w:t>
      </w:r>
      <w:r w:rsidR="00C93892">
        <w:rPr>
          <w:rFonts w:ascii="Times New Roman" w:hAnsi="Times New Roman" w:cs="Times New Roman"/>
          <w:sz w:val="24"/>
          <w:szCs w:val="24"/>
        </w:rPr>
        <w:t>2</w:t>
      </w:r>
      <w:r w:rsidRPr="008E075D">
        <w:rPr>
          <w:rFonts w:ascii="Times New Roman" w:hAnsi="Times New Roman" w:cs="Times New Roman"/>
          <w:sz w:val="24"/>
          <w:szCs w:val="24"/>
        </w:rPr>
        <w:t>], будет требовать от региона более радикальных мер в сфере миграционной и социальной политики.</w:t>
      </w:r>
    </w:p>
    <w:p w14:paraId="69E81645" w14:textId="77777777" w:rsidR="008E075D" w:rsidRPr="008E075D" w:rsidRDefault="008E075D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17F248E" w14:textId="77777777" w:rsidR="008E075D" w:rsidRPr="008E075D" w:rsidRDefault="008E075D" w:rsidP="008E075D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 xml:space="preserve">Воробьева О.Д.,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Топилин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А.В., Гребенюк А.А., Лебедева Т.В. Взаимосвязь миграции и демографического старения населения регионов России // Народонаселение. 2023. Т. 26. № 4. С. 78-91.</w:t>
      </w:r>
    </w:p>
    <w:p w14:paraId="05AA1895" w14:textId="77777777" w:rsidR="008E075D" w:rsidRPr="008E075D" w:rsidRDefault="008E075D" w:rsidP="008E075D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lastRenderedPageBreak/>
        <w:t xml:space="preserve">Демографический ежегодник Республики Адыгея. 2024: Стат. сб. /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Краснодарстат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>. Краснодар, 2024.</w:t>
      </w:r>
    </w:p>
    <w:p w14:paraId="697DBA0F" w14:textId="77777777" w:rsidR="008E075D" w:rsidRPr="008E075D" w:rsidRDefault="008E075D" w:rsidP="008E075D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75D">
        <w:rPr>
          <w:rFonts w:ascii="Times New Roman" w:hAnsi="Times New Roman" w:cs="Times New Roman"/>
          <w:sz w:val="24"/>
          <w:szCs w:val="24"/>
        </w:rPr>
        <w:t>Прогноз кадровой потребности экономики Республики Адыгея на 2023-2032 годы: утв. Министерством труда и социального развития Республики Адыгея. Майкоп, 2023.</w:t>
      </w:r>
    </w:p>
    <w:p w14:paraId="1757C40D" w14:textId="77777777" w:rsidR="008E075D" w:rsidRPr="008E075D" w:rsidRDefault="008E075D" w:rsidP="008E075D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075D">
        <w:rPr>
          <w:rFonts w:ascii="Times New Roman" w:hAnsi="Times New Roman" w:cs="Times New Roman"/>
          <w:sz w:val="24"/>
          <w:szCs w:val="24"/>
        </w:rPr>
        <w:t>Ракачев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8E075D">
        <w:rPr>
          <w:rFonts w:ascii="Times New Roman" w:hAnsi="Times New Roman" w:cs="Times New Roman"/>
          <w:sz w:val="24"/>
          <w:szCs w:val="24"/>
        </w:rPr>
        <w:t>Ракачева</w:t>
      </w:r>
      <w:proofErr w:type="spellEnd"/>
      <w:r w:rsidRPr="008E075D">
        <w:rPr>
          <w:rFonts w:ascii="Times New Roman" w:hAnsi="Times New Roman" w:cs="Times New Roman"/>
          <w:sz w:val="24"/>
          <w:szCs w:val="24"/>
        </w:rPr>
        <w:t xml:space="preserve"> Я.В. Динамика численности и структуры населения в районах Адыгеи во второй половине XX — начале XXI вв.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2018. № 4 (229). С. 89-98.</w:t>
      </w:r>
    </w:p>
    <w:p w14:paraId="582D39FC" w14:textId="3C1BF4B0" w:rsidR="004338D1" w:rsidRPr="0098523C" w:rsidRDefault="004338D1" w:rsidP="008E075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98523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-280" w:hanging="360"/>
      </w:pPr>
    </w:lvl>
    <w:lvl w:ilvl="1" w:tplc="04190019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1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216086"/>
    <w:multiLevelType w:val="hybridMultilevel"/>
    <w:tmpl w:val="71A8A23C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D087858"/>
    <w:multiLevelType w:val="hybridMultilevel"/>
    <w:tmpl w:val="55F2B4AA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3F95757E"/>
    <w:multiLevelType w:val="hybridMultilevel"/>
    <w:tmpl w:val="7BC4B614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23BE4"/>
    <w:multiLevelType w:val="hybridMultilevel"/>
    <w:tmpl w:val="A920A46A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9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4825C5"/>
    <w:multiLevelType w:val="hybridMultilevel"/>
    <w:tmpl w:val="7FDEC55C"/>
    <w:lvl w:ilvl="0" w:tplc="DB5CF810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7C6E493A"/>
    <w:multiLevelType w:val="hybridMultilevel"/>
    <w:tmpl w:val="19A67942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7A"/>
    <w:rsid w:val="0001348B"/>
    <w:rsid w:val="00043674"/>
    <w:rsid w:val="00083A28"/>
    <w:rsid w:val="000B5054"/>
    <w:rsid w:val="0015247A"/>
    <w:rsid w:val="00206D26"/>
    <w:rsid w:val="002654BE"/>
    <w:rsid w:val="003D6542"/>
    <w:rsid w:val="0040254B"/>
    <w:rsid w:val="004338D1"/>
    <w:rsid w:val="005341D0"/>
    <w:rsid w:val="005B2481"/>
    <w:rsid w:val="005C6CB1"/>
    <w:rsid w:val="005D4DF8"/>
    <w:rsid w:val="00641321"/>
    <w:rsid w:val="00677F19"/>
    <w:rsid w:val="00804A9C"/>
    <w:rsid w:val="008E075D"/>
    <w:rsid w:val="00940AD1"/>
    <w:rsid w:val="0098523C"/>
    <w:rsid w:val="00B63C44"/>
    <w:rsid w:val="00C12E3A"/>
    <w:rsid w:val="00C3096D"/>
    <w:rsid w:val="00C5683C"/>
    <w:rsid w:val="00C93892"/>
    <w:rsid w:val="00D34A7B"/>
    <w:rsid w:val="00E81466"/>
    <w:rsid w:val="00EA3478"/>
    <w:rsid w:val="00EC1A22"/>
    <w:rsid w:val="00F2669B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Иванова</cp:lastModifiedBy>
  <cp:revision>2</cp:revision>
  <dcterms:created xsi:type="dcterms:W3CDTF">2026-04-10T15:10:00Z</dcterms:created>
  <dcterms:modified xsi:type="dcterms:W3CDTF">2026-04-10T15:10:00Z</dcterms:modified>
</cp:coreProperties>
</file>