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D5EE8" w14:textId="42340DE0" w:rsidR="008032BC" w:rsidRDefault="00534A7F" w:rsidP="00493BF5">
      <w:pPr>
        <w:ind w:firstLine="709"/>
        <w:jc w:val="center"/>
        <w:rPr>
          <w:rFonts w:ascii="Times New Roman" w:hAnsi="Times New Roman" w:cs="Times New Roman"/>
        </w:rPr>
      </w:pPr>
      <w:r w:rsidRPr="00534A7F">
        <w:rPr>
          <w:rFonts w:ascii="Times New Roman" w:hAnsi="Times New Roman" w:cs="Times New Roman"/>
        </w:rPr>
        <w:t>КОНСТИТУЦИОННЫЙ МЕХАНИЗМ ОТВЕТСТВЕННОСТИ ГЛАВЫ ГОСУДАРСТВА В РОССИИ: ТЕОРИЯ И ПРЕДЕЛЫ РЕАЛИЗАЦИИ</w:t>
      </w:r>
    </w:p>
    <w:p w14:paraId="269C55AC" w14:textId="77777777" w:rsidR="00534A7F" w:rsidRPr="00534A7F" w:rsidRDefault="00534A7F" w:rsidP="00493BF5">
      <w:pPr>
        <w:ind w:firstLine="709"/>
        <w:jc w:val="center"/>
        <w:rPr>
          <w:rFonts w:ascii="Times New Roman" w:hAnsi="Times New Roman" w:cs="Times New Roman"/>
        </w:rPr>
      </w:pPr>
    </w:p>
    <w:p w14:paraId="2FCB7E15" w14:textId="1199BBF6" w:rsidR="008032BC" w:rsidRPr="00534A7F" w:rsidRDefault="008032BC" w:rsidP="00493BF5">
      <w:pPr>
        <w:ind w:firstLine="709"/>
        <w:jc w:val="right"/>
        <w:rPr>
          <w:rFonts w:ascii="Times New Roman" w:hAnsi="Times New Roman" w:cs="Times New Roman"/>
          <w:i/>
          <w:iCs/>
        </w:rPr>
      </w:pPr>
      <w:r w:rsidRPr="00534A7F">
        <w:rPr>
          <w:rFonts w:ascii="Times New Roman" w:hAnsi="Times New Roman" w:cs="Times New Roman"/>
          <w:i/>
          <w:iCs/>
        </w:rPr>
        <w:t>Ящишена</w:t>
      </w:r>
      <w:r w:rsidR="005A76E0" w:rsidRPr="00534A7F">
        <w:rPr>
          <w:rFonts w:ascii="Times New Roman" w:hAnsi="Times New Roman" w:cs="Times New Roman"/>
          <w:i/>
          <w:iCs/>
        </w:rPr>
        <w:t xml:space="preserve"> </w:t>
      </w:r>
      <w:r w:rsidRPr="00534A7F">
        <w:rPr>
          <w:rFonts w:ascii="Times New Roman" w:hAnsi="Times New Roman" w:cs="Times New Roman"/>
          <w:i/>
          <w:iCs/>
        </w:rPr>
        <w:t>Алина Дмитриевна</w:t>
      </w:r>
      <w:r w:rsidR="005A76E0" w:rsidRPr="00534A7F">
        <w:rPr>
          <w:rFonts w:ascii="Times New Roman" w:hAnsi="Times New Roman" w:cs="Times New Roman"/>
          <w:i/>
          <w:iCs/>
        </w:rPr>
        <w:t>,</w:t>
      </w:r>
    </w:p>
    <w:p w14:paraId="34DFB87D" w14:textId="51CC8324" w:rsidR="008032BC" w:rsidRPr="00534A7F" w:rsidRDefault="005A76E0" w:rsidP="00493BF5">
      <w:pPr>
        <w:ind w:firstLine="709"/>
        <w:jc w:val="right"/>
        <w:rPr>
          <w:rFonts w:ascii="Times New Roman" w:hAnsi="Times New Roman" w:cs="Times New Roman"/>
          <w:i/>
          <w:iCs/>
        </w:rPr>
      </w:pPr>
      <w:r w:rsidRPr="00534A7F">
        <w:rPr>
          <w:rFonts w:ascii="Times New Roman" w:hAnsi="Times New Roman" w:cs="Times New Roman"/>
          <w:i/>
          <w:iCs/>
        </w:rPr>
        <w:t>ФГБОУ ВО</w:t>
      </w:r>
      <w:r w:rsidR="008032BC" w:rsidRPr="00534A7F">
        <w:rPr>
          <w:rFonts w:ascii="Times New Roman" w:hAnsi="Times New Roman" w:cs="Times New Roman"/>
          <w:i/>
          <w:iCs/>
        </w:rPr>
        <w:t xml:space="preserve"> </w:t>
      </w:r>
      <w:r w:rsidRPr="00534A7F">
        <w:rPr>
          <w:rFonts w:ascii="Times New Roman" w:hAnsi="Times New Roman" w:cs="Times New Roman"/>
          <w:i/>
          <w:iCs/>
        </w:rPr>
        <w:t>«</w:t>
      </w:r>
      <w:r w:rsidR="008032BC" w:rsidRPr="00534A7F">
        <w:rPr>
          <w:rFonts w:ascii="Times New Roman" w:hAnsi="Times New Roman" w:cs="Times New Roman"/>
          <w:i/>
          <w:iCs/>
        </w:rPr>
        <w:t>Адыгейский</w:t>
      </w:r>
    </w:p>
    <w:p w14:paraId="449DA9D6" w14:textId="03740B24" w:rsidR="005A76E0" w:rsidRPr="00534A7F" w:rsidRDefault="008032BC" w:rsidP="00493BF5">
      <w:pPr>
        <w:ind w:firstLine="709"/>
        <w:jc w:val="right"/>
        <w:rPr>
          <w:rFonts w:ascii="Times New Roman" w:hAnsi="Times New Roman" w:cs="Times New Roman"/>
          <w:i/>
          <w:iCs/>
        </w:rPr>
      </w:pPr>
      <w:r w:rsidRPr="00534A7F">
        <w:rPr>
          <w:rFonts w:ascii="Times New Roman" w:hAnsi="Times New Roman" w:cs="Times New Roman"/>
          <w:i/>
          <w:iCs/>
        </w:rPr>
        <w:t xml:space="preserve"> государственный университет</w:t>
      </w:r>
      <w:r w:rsidR="005A76E0" w:rsidRPr="00534A7F">
        <w:rPr>
          <w:rFonts w:ascii="Times New Roman" w:hAnsi="Times New Roman" w:cs="Times New Roman"/>
          <w:i/>
          <w:iCs/>
        </w:rPr>
        <w:t>»,</w:t>
      </w:r>
      <w:r w:rsidRPr="00534A7F">
        <w:rPr>
          <w:rFonts w:ascii="Times New Roman" w:hAnsi="Times New Roman" w:cs="Times New Roman"/>
          <w:i/>
          <w:iCs/>
        </w:rPr>
        <w:t xml:space="preserve"> Майкоп</w:t>
      </w:r>
      <w:r w:rsidR="005A76E0" w:rsidRPr="00534A7F">
        <w:rPr>
          <w:rFonts w:ascii="Times New Roman" w:hAnsi="Times New Roman" w:cs="Times New Roman"/>
          <w:i/>
          <w:iCs/>
        </w:rPr>
        <w:t>.</w:t>
      </w:r>
    </w:p>
    <w:p w14:paraId="3597CA3E" w14:textId="77777777" w:rsidR="008032BC" w:rsidRPr="00534A7F" w:rsidRDefault="008032BC" w:rsidP="00493BF5">
      <w:pPr>
        <w:ind w:firstLine="709"/>
        <w:jc w:val="right"/>
        <w:rPr>
          <w:rFonts w:ascii="Times New Roman" w:hAnsi="Times New Roman" w:cs="Times New Roman"/>
          <w:i/>
          <w:iCs/>
        </w:rPr>
      </w:pPr>
    </w:p>
    <w:p w14:paraId="55D5C94C" w14:textId="2F28AFBF" w:rsidR="0098666D" w:rsidRPr="0098666D" w:rsidRDefault="005A76E0" w:rsidP="0098666D">
      <w:pPr>
        <w:ind w:firstLine="709"/>
        <w:jc w:val="right"/>
        <w:rPr>
          <w:rFonts w:ascii="Times New Roman" w:hAnsi="Times New Roman" w:cs="Times New Roman"/>
          <w:i/>
          <w:iCs/>
        </w:rPr>
      </w:pPr>
      <w:r w:rsidRPr="0098666D">
        <w:rPr>
          <w:rFonts w:ascii="Times New Roman" w:hAnsi="Times New Roman" w:cs="Times New Roman"/>
          <w:i/>
          <w:iCs/>
        </w:rPr>
        <w:t xml:space="preserve">Научный </w:t>
      </w:r>
      <w:r w:rsidR="00D82094" w:rsidRPr="0098666D">
        <w:rPr>
          <w:rFonts w:ascii="Times New Roman" w:hAnsi="Times New Roman" w:cs="Times New Roman"/>
          <w:i/>
          <w:iCs/>
        </w:rPr>
        <w:t xml:space="preserve">руководитель: </w:t>
      </w:r>
      <w:r w:rsidR="0098666D" w:rsidRPr="0098666D">
        <w:rPr>
          <w:rFonts w:ascii="Times New Roman" w:hAnsi="Times New Roman" w:cs="Times New Roman"/>
          <w:i/>
          <w:iCs/>
        </w:rPr>
        <w:t>Жаде З.А., д. п. наук,</w:t>
      </w:r>
      <w:r w:rsidR="0098666D" w:rsidRPr="0098666D">
        <w:rPr>
          <w:rFonts w:ascii="Times New Roman" w:hAnsi="Times New Roman" w:cs="Times New Roman"/>
          <w:i/>
          <w:iCs/>
        </w:rPr>
        <w:br/>
      </w:r>
      <w:r w:rsidR="0098666D" w:rsidRPr="0098666D">
        <w:rPr>
          <w:rFonts w:ascii="Times New Roman" w:hAnsi="Times New Roman" w:cs="Times New Roman"/>
          <w:i/>
          <w:iCs/>
        </w:rPr>
        <w:t>профессор,</w:t>
      </w:r>
      <w:r w:rsidR="0098666D" w:rsidRPr="0098666D">
        <w:rPr>
          <w:rFonts w:ascii="Times New Roman" w:hAnsi="Times New Roman" w:cs="Times New Roman"/>
          <w:i/>
          <w:iCs/>
        </w:rPr>
        <w:t xml:space="preserve"> </w:t>
      </w:r>
      <w:r w:rsidR="0098666D" w:rsidRPr="0098666D">
        <w:rPr>
          <w:rFonts w:ascii="Times New Roman" w:hAnsi="Times New Roman" w:cs="Times New Roman"/>
          <w:i/>
          <w:iCs/>
        </w:rPr>
        <w:t>ФГБОУ ВО «Адыгейский</w:t>
      </w:r>
    </w:p>
    <w:p w14:paraId="7F9150BE" w14:textId="05985EED" w:rsidR="008032BC" w:rsidRPr="0098666D" w:rsidRDefault="0098666D" w:rsidP="0098666D">
      <w:pPr>
        <w:ind w:firstLine="709"/>
        <w:jc w:val="right"/>
        <w:rPr>
          <w:rFonts w:ascii="Times New Roman" w:hAnsi="Times New Roman" w:cs="Times New Roman"/>
          <w:i/>
          <w:iCs/>
        </w:rPr>
      </w:pPr>
      <w:r w:rsidRPr="0098666D">
        <w:rPr>
          <w:rFonts w:ascii="Times New Roman" w:hAnsi="Times New Roman" w:cs="Times New Roman"/>
          <w:i/>
          <w:iCs/>
        </w:rPr>
        <w:t xml:space="preserve"> государственный университет», Майкоп.</w:t>
      </w:r>
    </w:p>
    <w:p w14:paraId="0CC19FF5" w14:textId="0E7EFF77" w:rsidR="00534A7F" w:rsidRPr="00534A7F" w:rsidRDefault="00534A7F" w:rsidP="00493BF5">
      <w:pPr>
        <w:pStyle w:val="a3"/>
        <w:ind w:firstLine="709"/>
        <w:jc w:val="both"/>
      </w:pPr>
      <w:r w:rsidRPr="00534A7F">
        <w:t>Проблематика конституционной ответственности высшего должностного лица является краеугольным камнем в системе сдержек и противовесов. В контексте обеспечения принципа верховенства права изучение реального функционирования механизмов контроля за деятельностью главы государства приобретает особую значимость, так как позволяет оценить баланс между конституционными декларациями и правоприменительной практикой.</w:t>
      </w:r>
    </w:p>
    <w:p w14:paraId="7B224262" w14:textId="391B3825" w:rsidR="00534A7F" w:rsidRPr="00534A7F" w:rsidRDefault="00534A7F" w:rsidP="00493BF5">
      <w:pPr>
        <w:pStyle w:val="a3"/>
        <w:ind w:firstLine="709"/>
        <w:jc w:val="both"/>
      </w:pPr>
      <w:r w:rsidRPr="00534A7F">
        <w:t xml:space="preserve">Вопросы привлечения главы государства к ответственности и процедура импичмента фундаментально исследовались в трудах таких видных отечественных правоведов, как С.А. </w:t>
      </w:r>
      <w:proofErr w:type="spellStart"/>
      <w:r w:rsidRPr="00534A7F">
        <w:t>Авакьян</w:t>
      </w:r>
      <w:proofErr w:type="spellEnd"/>
      <w:r w:rsidRPr="00534A7F">
        <w:t xml:space="preserve"> [1], В.Е. Чиркин [4], А.А. </w:t>
      </w:r>
      <w:proofErr w:type="spellStart"/>
      <w:r w:rsidRPr="00534A7F">
        <w:t>Кондрашев</w:t>
      </w:r>
      <w:proofErr w:type="spellEnd"/>
      <w:r w:rsidRPr="00534A7F">
        <w:t xml:space="preserve"> [2]. Тем не менее, специфика российской правовой конструкции, характеризующейся сложным многоэтапным процессом, требует дальнейшего доктринального осмысления в реалиях современной политической системы.</w:t>
      </w:r>
    </w:p>
    <w:p w14:paraId="6C599545" w14:textId="6445BAF5" w:rsidR="00534A7F" w:rsidRPr="00534A7F" w:rsidRDefault="00534A7F" w:rsidP="00493BF5">
      <w:pPr>
        <w:pStyle w:val="a3"/>
        <w:ind w:firstLine="709"/>
        <w:jc w:val="both"/>
      </w:pPr>
      <w:r w:rsidRPr="00534A7F">
        <w:t>Целью настоящего исследования выступает комплексный анализ института отрешения Президента Российской Федерации от должности с точки зрения его практической применимости. Задачи исследования: изучить нормативно-правовую базу, регламентирующую данную процедуру; проанализировать специфику взаимодействия ветвей власти в процессе импичмента; оценить соотношение гарантийной и правоприменительной функций рассматриваемого института.</w:t>
      </w:r>
    </w:p>
    <w:p w14:paraId="43C07905" w14:textId="622228D6" w:rsidR="00534A7F" w:rsidRPr="00534A7F" w:rsidRDefault="00534A7F" w:rsidP="00493BF5">
      <w:pPr>
        <w:pStyle w:val="a3"/>
        <w:ind w:firstLine="709"/>
        <w:jc w:val="both"/>
      </w:pPr>
      <w:r w:rsidRPr="00534A7F">
        <w:t xml:space="preserve">Методологическую основу работы составили общенаучные (диалектический, системно-структурный анализ) и </w:t>
      </w:r>
      <w:proofErr w:type="spellStart"/>
      <w:r w:rsidRPr="00534A7F">
        <w:t>частнонаучные</w:t>
      </w:r>
      <w:proofErr w:type="spellEnd"/>
      <w:r w:rsidRPr="00534A7F">
        <w:t xml:space="preserve"> методы познания: формально-юридический метод (при толковании положений ст. 93 Основного закона) и метод системного анализа.</w:t>
      </w:r>
    </w:p>
    <w:p w14:paraId="4C339C65" w14:textId="53857FCB" w:rsidR="00534A7F" w:rsidRDefault="00534A7F" w:rsidP="00493BF5">
      <w:pPr>
        <w:pStyle w:val="a3"/>
        <w:ind w:firstLine="709"/>
        <w:jc w:val="both"/>
      </w:pPr>
      <w:r w:rsidRPr="00534A7F">
        <w:t>В отечественном конституционном праве алгоритм смещения главы государства, установленный статьей 93 Конституции РФ [3], представляет собой экстраординарную, многоуровневую юридическую процедуру. Ключевой особенностью данного механизма является обязательное согласованное участие структур законодательной (Государственная Дума, Совет Федерации) и судебной (Верховный Суд РФ, Конституционный Суд РФ) ветвей власти.</w:t>
      </w:r>
    </w:p>
    <w:p w14:paraId="03FBEED5" w14:textId="0328B851" w:rsidR="00534A7F" w:rsidRPr="00534A7F" w:rsidRDefault="00534A7F" w:rsidP="00493BF5">
      <w:pPr>
        <w:pStyle w:val="a3"/>
        <w:ind w:firstLine="709"/>
        <w:jc w:val="both"/>
      </w:pPr>
      <w:r w:rsidRPr="00534A7F">
        <w:t>Анализ нормативной базы показывает, что отечественная модель исключает наступление ответственности за политические разногласия. Единственным легитимным основанием для инициации процесса выступает наличие признаков государственной измены или иного тяжкого преступления, что переводит процедуру импичмента в специфическую уголовно-процессуальную плоскость [2].</w:t>
      </w:r>
    </w:p>
    <w:p w14:paraId="730608DD" w14:textId="77777777" w:rsidR="00534A7F" w:rsidRPr="00534A7F" w:rsidRDefault="00534A7F" w:rsidP="00493BF5">
      <w:pPr>
        <w:pStyle w:val="a3"/>
        <w:ind w:firstLine="709"/>
        <w:jc w:val="both"/>
      </w:pPr>
      <w:r w:rsidRPr="00534A7F">
        <w:t xml:space="preserve">Громоздкость конструкции и императивное требование о получении квалифицированного большинства голосов парламентариев (не менее двух третей в обеих палатах) формируют объективные препятствия для доведения процедуры до финальной стадии. За весь период действия Основного закона данный механизм ни разу не был </w:t>
      </w:r>
      <w:r w:rsidRPr="00534A7F">
        <w:lastRenderedPageBreak/>
        <w:t>реализован до конца. Это свидетельствует о том, что рассматриваемый институт носит преимущественно превентивный характер.</w:t>
      </w:r>
    </w:p>
    <w:p w14:paraId="498EFBEC" w14:textId="12927C9F" w:rsidR="00534A7F" w:rsidRPr="00534A7F" w:rsidRDefault="00534A7F" w:rsidP="00493BF5">
      <w:pPr>
        <w:pStyle w:val="a3"/>
        <w:ind w:firstLine="709"/>
        <w:jc w:val="both"/>
      </w:pPr>
      <w:r w:rsidRPr="00534A7F">
        <w:t>Резюми</w:t>
      </w:r>
      <w:r w:rsidR="004927D0">
        <w:t>р</w:t>
      </w:r>
      <w:r w:rsidRPr="00534A7F">
        <w:t>уя вышеизложенное, можно констатировать дуалистическую природу конституционной ответственности Президента РФ. Де-юре норма закрепляет подконтрольность глав</w:t>
      </w:r>
      <w:r w:rsidR="004927D0">
        <w:t>ы</w:t>
      </w:r>
      <w:r w:rsidRPr="00534A7F">
        <w:t xml:space="preserve"> государства праву, де-факто — функционирует как фундаментальный правовой барьер, призванный обеспечить стабильность политической системы и защитить высший государственный институт от конъюнктурной дестабилизации [4]. Таким образом, потенциал практического применения данной нормы сведен к минимуму, однако её роль в качестве «предохранителя» конституционного строя остается неоспоримой.</w:t>
      </w:r>
    </w:p>
    <w:p w14:paraId="0D636D52" w14:textId="77777777" w:rsidR="00534A7F" w:rsidRPr="00BA7605" w:rsidRDefault="00534A7F" w:rsidP="00493BF5">
      <w:pPr>
        <w:pStyle w:val="a3"/>
        <w:ind w:firstLine="709"/>
        <w:jc w:val="both"/>
      </w:pPr>
      <w:r w:rsidRPr="00BA7605">
        <w:t>Список литературы</w:t>
      </w:r>
    </w:p>
    <w:p w14:paraId="3A659B6F" w14:textId="77777777" w:rsidR="00534A7F" w:rsidRPr="00534A7F" w:rsidRDefault="00534A7F" w:rsidP="00493BF5">
      <w:pPr>
        <w:pStyle w:val="a3"/>
        <w:numPr>
          <w:ilvl w:val="0"/>
          <w:numId w:val="1"/>
        </w:numPr>
        <w:ind w:firstLine="709"/>
        <w:jc w:val="both"/>
      </w:pPr>
      <w:proofErr w:type="spellStart"/>
      <w:r w:rsidRPr="00534A7F">
        <w:t>Авакьян</w:t>
      </w:r>
      <w:proofErr w:type="spellEnd"/>
      <w:r w:rsidRPr="00534A7F">
        <w:t xml:space="preserve"> С.А. Конституционное право России. Учебный курс: учеб. пособие: в 2 т. М., 2021. Т. 2.</w:t>
      </w:r>
    </w:p>
    <w:p w14:paraId="6708D773" w14:textId="77777777" w:rsidR="00534A7F" w:rsidRPr="00534A7F" w:rsidRDefault="00534A7F" w:rsidP="00493BF5">
      <w:pPr>
        <w:pStyle w:val="a3"/>
        <w:numPr>
          <w:ilvl w:val="0"/>
          <w:numId w:val="1"/>
        </w:numPr>
        <w:ind w:firstLine="709"/>
        <w:jc w:val="both"/>
      </w:pPr>
      <w:proofErr w:type="spellStart"/>
      <w:r w:rsidRPr="00534A7F">
        <w:t>Кондрашев</w:t>
      </w:r>
      <w:proofErr w:type="spellEnd"/>
      <w:r w:rsidRPr="00534A7F">
        <w:t xml:space="preserve"> А.А. Отрешение от должности Президента Российской Федерации: конституционно-правовая теория и современная практика // Государство и право. 2012. № 12. С. 14-22.</w:t>
      </w:r>
    </w:p>
    <w:p w14:paraId="593E46B8" w14:textId="77777777" w:rsidR="00534A7F" w:rsidRPr="00534A7F" w:rsidRDefault="00534A7F" w:rsidP="00493BF5">
      <w:pPr>
        <w:pStyle w:val="a3"/>
        <w:numPr>
          <w:ilvl w:val="0"/>
          <w:numId w:val="1"/>
        </w:numPr>
        <w:ind w:firstLine="709"/>
        <w:jc w:val="both"/>
      </w:pPr>
      <w:r w:rsidRPr="00534A7F">
        <w:t>Конституция Российской Федерации: принята всенародным голосованием 12 дек. 1993 г. (с изм., одобренными в ходе общероссийского голосования 01.07.2020) // Российская газета. 2020. 4 июля.</w:t>
      </w:r>
    </w:p>
    <w:p w14:paraId="452BE8EB" w14:textId="77777777" w:rsidR="00534A7F" w:rsidRPr="00534A7F" w:rsidRDefault="00534A7F" w:rsidP="00493BF5">
      <w:pPr>
        <w:pStyle w:val="a3"/>
        <w:numPr>
          <w:ilvl w:val="0"/>
          <w:numId w:val="1"/>
        </w:numPr>
        <w:ind w:firstLine="709"/>
        <w:jc w:val="both"/>
      </w:pPr>
      <w:r w:rsidRPr="00534A7F">
        <w:t>Чиркин В.Е. Глава государства. Сравнительно-правовое исследование. М., 2010.</w:t>
      </w:r>
    </w:p>
    <w:p w14:paraId="0E72C057" w14:textId="3316CCF5" w:rsidR="005D47DB" w:rsidRPr="00534A7F" w:rsidRDefault="005D47DB" w:rsidP="00493BF5">
      <w:pPr>
        <w:ind w:firstLine="709"/>
        <w:jc w:val="both"/>
        <w:rPr>
          <w:rFonts w:ascii="Times New Roman" w:hAnsi="Times New Roman" w:cs="Times New Roman"/>
        </w:rPr>
      </w:pPr>
    </w:p>
    <w:sectPr w:rsidR="005D47DB" w:rsidRPr="00534A7F" w:rsidSect="008032B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A597E"/>
    <w:multiLevelType w:val="multilevel"/>
    <w:tmpl w:val="FDF2F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9778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42D"/>
    <w:rsid w:val="0048142D"/>
    <w:rsid w:val="004927D0"/>
    <w:rsid w:val="00493BF5"/>
    <w:rsid w:val="00534A7F"/>
    <w:rsid w:val="005A76E0"/>
    <w:rsid w:val="005D47DB"/>
    <w:rsid w:val="008032BC"/>
    <w:rsid w:val="0098666D"/>
    <w:rsid w:val="00BA7605"/>
    <w:rsid w:val="00D820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42D6E7C5"/>
  <w15:chartTrackingRefBased/>
  <w15:docId w15:val="{95EB733F-9B0F-4A41-8478-A1BBC2FE7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6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4A7F"/>
    <w:pPr>
      <w:spacing w:before="100" w:beforeAutospacing="1" w:after="100" w:afterAutospacing="1"/>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45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610</Words>
  <Characters>3482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 Ящишен</dc:creator>
  <cp:keywords/>
  <dc:description/>
  <cp:lastModifiedBy>Кирилл Ящишен</cp:lastModifiedBy>
  <cp:revision>5</cp:revision>
  <cp:lastPrinted>2026-03-24T22:33:00Z</cp:lastPrinted>
  <dcterms:created xsi:type="dcterms:W3CDTF">2026-03-24T22:33:00Z</dcterms:created>
  <dcterms:modified xsi:type="dcterms:W3CDTF">2026-04-06T06:22:00Z</dcterms:modified>
</cp:coreProperties>
</file>