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Особенности обсуждения 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будущих планов пациента как клинико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реабилитационный инструмент при шизофрении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Хлевная Александра Сергеевна </w:t>
      </w:r>
    </w:p>
    <w:p>
      <w:pPr>
        <w:pStyle w:val="Body A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магистр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Факультет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Кафедра нейро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патопсихологии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Москва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E-mail: khlevnaia@gmail.com</w:t>
      </w:r>
    </w:p>
    <w:p>
      <w:pPr>
        <w:pStyle w:val="Body A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Актуальность исследования обусловлена значительной частотой повторных госпитализаций у пациентов с хроническими психическими расстройствами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прежде всего шизофренией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[1],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потребностью в разработке эффективных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доступных и клинически применимых подходов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реабилитацию и ресоциализацию после выписки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Существенную роль при этом играет работа с жизненными целями пациента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краткосрочными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долгосрочными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оказывающая влияние на мотивацию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приверженность терапии и уровень социальной адаптации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работы является обоснование практической значимости обсуждения планов пациента после выписки как инструмента диагностики и реабилитации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выявление факторов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 важных для подготовки к постгоспитальному этапу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основана на теоретическом анализе отечественных и зарубежных исследований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Повторные госпитализации у пациентов с шизофренией встречаются чаще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чем при других хронических психических расстройствах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такие пациенты реже используют стратегии самопомощи и укрепления здоровья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Шизофрения характеризуется нарушениями мышления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восприятия и аффективной сферы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о выписке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клинического состояния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основывается на способности пациента к самообслуживанию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обеспечению безопасности и применению навыков совладания со стрессом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  <w:lang w:val="pt-PT"/>
        </w:rPr>
        <w:t>].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определении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аспекты необходимо обсудить и как оценить готовность пациента к выписке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важно учитывать как стадию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тип течения шизофрении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которых находится пациент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факторы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способные повлиять на его постгоспитальную адаптацию и риск повторной госпитализации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таких факторов — возможные когнитивные нарушения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постпсихотическая астения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дефициты исполнительных функций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проявляющиеся в ухудшении способности к планированию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концентрации внимания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памяти и мотивации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9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этого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наблюдаться поведенческие изменения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как социальная изоляция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привычек питания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снижение уровня гигиены и злоупотребление психоактивными веществами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/>
          <w:sz w:val="24"/>
          <w:szCs w:val="24"/>
          <w:rtl w:val="0"/>
          <w:lang w:val="pt-PT"/>
        </w:rPr>
        <w:t>].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рамках исследований выделяют девять ключевых проблемных областей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которыми пациенты сталкиваются после выписки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ним относятся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уровень способности к самообслуживанию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11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13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самовосприятия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14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способы преодоления трудностей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знание особенностей заболевания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11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комплаентность терапии и обсуждение возможных возникающих трудностей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>, 1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самооценка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16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нарушения сна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>, 1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18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трудности в межличностных отношениях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9</w:t>
      </w:r>
      <w:r>
        <w:rPr>
          <w:rFonts w:ascii="Times New Roman" w:hAnsi="Times New Roman"/>
          <w:sz w:val="24"/>
          <w:szCs w:val="24"/>
          <w:rtl w:val="0"/>
        </w:rPr>
        <w:t>, 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обеспечение безопасной среды </w:t>
      </w:r>
      <w:r>
        <w:rPr>
          <w:rFonts w:ascii="Times New Roman" w:hAnsi="Times New Roman"/>
          <w:sz w:val="24"/>
          <w:szCs w:val="24"/>
          <w:rtl w:val="0"/>
          <w:lang w:val="pt-PT"/>
        </w:rPr>
        <w:t>[1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20</w:t>
      </w:r>
      <w:r>
        <w:rPr>
          <w:rFonts w:ascii="Times New Roman" w:hAnsi="Times New Roman"/>
          <w:sz w:val="24"/>
          <w:szCs w:val="24"/>
          <w:rtl w:val="0"/>
          <w:lang w:val="pt-PT"/>
        </w:rPr>
        <w:t>].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результаты свидетельствуют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обсуждение с пациентом его будущих планов следует рассматривать не просто как формальный этап подготовки к выписке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значимый клинический и реабилитационный инструмент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способствующий снижению риска повторной госпитализации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повышению приверженности терапии и улучшению социальной адаптации пациентов с шизофренией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л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итератур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Judith A. Cook, Jane K. Burke-Miller, Jessica A. Jonikas, Frances Aranda, Alberto Santos. Factors associated with 30-day readmissions following medical hospitalizations among Medicaid beneficiaries with schizophrenia, bipolar disorder, and major depressive disorder. Psychiatry Research (2020). September 2020.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Irmiter C, McCarthy JF, Barry KL, Soliman S, et al. Reinstitutionalization following psychiatric discharge among VA patients with serious mental illness: a national longitudinal study. Psychiatr Q 2007;78:279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86.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Çö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em P, Partlak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üş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en N.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izofreni hastalar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z-bak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ve etkileyen fakt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rlerin incelenmesi. IV.Ulusal Psikiyatri Hem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ireli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 Kongresi (24-26 Haziran 2010)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zet Kitab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. Samsun: 2010. s.176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7.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Holmberg SK, Kane C. Health and self-care practices of persons with schizophrenia. Psychiatr Serv 1999;50:827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9. 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ICD-10 Classification of Mental and Behavioural Disorders Diagnostic criteria for research. World Health Organization. Geneva (1993).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Клинические рекомендации по ведению пациентов с шизофренией  для специалистов психиатрической службы РФ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(2024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Здравоохранения  Российской Федерации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Konstantinos N Fountoulakis,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Elena Dragioti,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Antonis T Theofilidis,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Tobias Wikilund,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Xenofon Atmatzidis,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Ioannis Nimatoudis,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Erik Thys, et al. Staging of Schizophrenia With the Use of PANSS: An International Multi-Center Study. International Journal of Neuropsychopharmacology. 11 November 2019, Pages 681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697. 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Covadonga M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az-Caneja, Laura Pina-Camacho, Alberto Rodr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guez-Quiroga, David Fraguas, Mara Parellada and Celso Arango. Predictors of outcome in early-onset psychosis: a systematic review. Nature partner journals schizophrenia Schizophrenia. 2015 Mar 4.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Maj M, Os J, De Hert M et al. The clinical characterization of the patient with primary psychosis aimed at personalization of management. World Psychiatry. 2021; 20(1): 4-33.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Patrick W. Corrigan, Benjamin G. Druss, and Deborah A. Perlick.The Impact of Mental Illness Stigma on Seeking and Participating in Mental Health Care. Psychological Science in the Public Interest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.October 2014, 15(2):37-70. 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Sultan Ta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, Kadriye Bulduko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  <w:lang w:val="en-US"/>
        </w:rPr>
        <w:t>lu. Early period self-care ability and care requirements of schizophrenia patients after discharge. Journal of psychiatric nursing. 2018;9(1):11-22.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Hamidreza Khankeh, Mehdi Rahgozar, Maryam Ranjbar. The effects of nursing discharge plan (post-discharge education and follow-up)  on self-care ability in patients with chronic schizophrenia hospitalized in Razi psychiatric Center. Iranian Journal of Nursing and Midwifery Research. (March 2011)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16(2):162-8.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Cutler C. Assessing patients' perception of self-care agency in psychiatric care. Issues Ment Health Nurs 2003;24:199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211.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Potter PA, Perry AG. Basic Nursing: Theory and Practice. St. Louis: Mosby; 1995.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Wen Ling Hsieh,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Shin Ting Yeh,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Wen I Liu,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I Hsien Li,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Shih Kai Lee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Wai Tong Chien. Improving Medication Adherence in Community-Dwelling Patients with Schizophrenia Through Therapeutic Alliance and Medication Attitude: A Serial Multiple Mediation Model. Patient Prefer Adherence (2022). 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Scott Z Mu,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Caitlin W Hicks,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Natalie R Daya,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Randi E Foraker,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Anna M Kucharska-Newton,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Pamela L Lutsey,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Josef Coresh,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Elizabeth Selvin.  Self-Rated Health in Middle Age and Risk of Hospitalizations and Death: Recurrent Event Analysis of the ARIC Study. Journal of general internal medicine. 2024 Aug; 39(10):1850-1857.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Wanying Mao,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Reham Shalaby,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Ernest Owusu,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Hossam Eldin Elgendy,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Belinda Agyapong,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a-DK"/>
        </w:rPr>
        <w:t>Ejemai Eboreime,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Peter H Silverstone,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Pierre Chue,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Xin-Min Li,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Wesley Vuong,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Arto Ohinmaa,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Valerie Taylor,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Andrew J Greenshaw,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nl-NL"/>
        </w:rPr>
        <w:t>Yanbo Zhang,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Vincent I O Agyapong. The prevalence and risk factors of sleep disturbances among mental health patients following hospital discharge. Frontiers in public health. 2025 Jul 30.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Paula Alhola, P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ivi Polo-Kantola. Sleep deprivation: Impact on cognitive performance. Neuropsychiatric Disease and Treatment 2007:3(5) 553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567.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 Magliano,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C Marasco,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A Fiorillo,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C Malangone,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M Guarneri,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M Maj. The impact of professional and social network support on the burden of families of patients with schizophrenia in Italy. Acta psychiatrica Scandinavica. 2002 Oct;106(4):291-8.</w:t>
      </w:r>
    </w:p>
    <w:p>
      <w:pPr>
        <w:pStyle w:val="Body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Kalseth, J., Lassemo, E., Wahlbeck, K.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et al.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Psychiatric readmissions and their association with environmental and health system characteristics: a systematic review of the literature.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BMC Psychiatry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16, 376 (2016).</w:t>
      </w:r>
    </w:p>
    <w:p>
      <w:pPr>
        <w:pStyle w:val="Body"/>
        <w:ind w:firstLine="397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7"/>
        </w:tabs>
        <w:ind w:left="33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7"/>
        </w:tabs>
        <w:ind w:left="105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167"/>
        </w:tabs>
        <w:ind w:left="177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7"/>
        </w:tabs>
        <w:ind w:left="249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607"/>
        </w:tabs>
        <w:ind w:left="321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327"/>
        </w:tabs>
        <w:ind w:left="393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7"/>
        </w:tabs>
        <w:ind w:left="465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5767"/>
        </w:tabs>
        <w:ind w:left="537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487"/>
        </w:tabs>
        <w:ind w:left="6090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