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E52" w:rsidRPr="00052E52" w:rsidRDefault="00052E52" w:rsidP="00367650">
      <w:pPr>
        <w:pStyle w:val="Heading1"/>
        <w:ind w:left="432" w:right="430"/>
        <w:rPr>
          <w:rFonts w:ascii="Times New Roman" w:hAnsi="Times New Roman"/>
          <w:sz w:val="24"/>
          <w:szCs w:val="24"/>
        </w:rPr>
      </w:pPr>
      <w:r w:rsidRPr="00052E52">
        <w:rPr>
          <w:rFonts w:ascii="Times New Roman" w:hAnsi="Times New Roman"/>
          <w:sz w:val="24"/>
          <w:szCs w:val="24"/>
        </w:rPr>
        <w:t>ЛАБОРАТОРНЫЙ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2E52">
        <w:rPr>
          <w:rFonts w:ascii="Times New Roman" w:hAnsi="Times New Roman"/>
          <w:sz w:val="24"/>
          <w:szCs w:val="24"/>
        </w:rPr>
        <w:t>МОНИТОРИНГ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2E52">
        <w:rPr>
          <w:rFonts w:ascii="Times New Roman" w:hAnsi="Times New Roman"/>
          <w:sz w:val="24"/>
          <w:szCs w:val="24"/>
        </w:rPr>
        <w:t>КАК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2E52">
        <w:rPr>
          <w:rFonts w:ascii="Times New Roman" w:hAnsi="Times New Roman"/>
          <w:sz w:val="24"/>
          <w:szCs w:val="24"/>
        </w:rPr>
        <w:t>КРИТЕРИЙ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2E52">
        <w:rPr>
          <w:rFonts w:ascii="Times New Roman" w:hAnsi="Times New Roman"/>
          <w:sz w:val="24"/>
          <w:szCs w:val="24"/>
        </w:rPr>
        <w:t>ОПТИМИЗАЦИИ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2E52">
        <w:rPr>
          <w:rFonts w:ascii="Times New Roman" w:hAnsi="Times New Roman"/>
          <w:sz w:val="24"/>
          <w:szCs w:val="24"/>
        </w:rPr>
        <w:t xml:space="preserve">ЛЕЧЕНИЯ ПАЦИЕНТОВ С </w:t>
      </w:r>
      <w:r>
        <w:rPr>
          <w:rFonts w:ascii="Times New Roman" w:hAnsi="Times New Roman"/>
          <w:sz w:val="24"/>
          <w:szCs w:val="24"/>
        </w:rPr>
        <w:t>ПАРАРЕКТАЛЬНЫМИ СВИЩАМИ</w:t>
      </w:r>
      <w:r w:rsidR="007558C9">
        <w:rPr>
          <w:rFonts w:ascii="Times New Roman" w:hAnsi="Times New Roman"/>
          <w:sz w:val="24"/>
          <w:szCs w:val="24"/>
        </w:rPr>
        <w:t>, ОСЛОЖНЕННЫМИ ОСТРЫМ ПАРАПРОКТИТОМ</w:t>
      </w:r>
    </w:p>
    <w:p w:rsidR="00367650" w:rsidRDefault="00367650" w:rsidP="00367650">
      <w:pPr>
        <w:pStyle w:val="a3"/>
        <w:ind w:left="363" w:right="357"/>
        <w:jc w:val="center"/>
        <w:rPr>
          <w:sz w:val="24"/>
          <w:szCs w:val="24"/>
        </w:rPr>
      </w:pPr>
      <w:r>
        <w:rPr>
          <w:sz w:val="24"/>
          <w:szCs w:val="24"/>
        </w:rPr>
        <w:t>Тимербаев Ильшат Илгизович</w:t>
      </w:r>
      <w:r w:rsidR="00052E52">
        <w:rPr>
          <w:sz w:val="24"/>
          <w:szCs w:val="24"/>
        </w:rPr>
        <w:t xml:space="preserve">, </w:t>
      </w:r>
    </w:p>
    <w:p w:rsidR="00367650" w:rsidRDefault="00367650" w:rsidP="00367650">
      <w:pPr>
        <w:pStyle w:val="a3"/>
        <w:ind w:left="363" w:right="35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Аспирант </w:t>
      </w:r>
    </w:p>
    <w:p w:rsidR="00367650" w:rsidRPr="00052E52" w:rsidRDefault="00367650" w:rsidP="00367650">
      <w:pPr>
        <w:pStyle w:val="a3"/>
        <w:ind w:left="363" w:right="35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Шаркаев Артур Тимурович </w:t>
      </w:r>
    </w:p>
    <w:p w:rsidR="00367650" w:rsidRDefault="00367650" w:rsidP="00367650">
      <w:pPr>
        <w:pStyle w:val="a3"/>
        <w:ind w:left="363" w:right="357"/>
        <w:jc w:val="center"/>
        <w:rPr>
          <w:sz w:val="24"/>
          <w:szCs w:val="24"/>
        </w:rPr>
      </w:pPr>
      <w:r>
        <w:rPr>
          <w:sz w:val="24"/>
          <w:szCs w:val="24"/>
        </w:rPr>
        <w:t>Студент</w:t>
      </w:r>
    </w:p>
    <w:p w:rsidR="00367650" w:rsidRDefault="00367650" w:rsidP="00367650">
      <w:pPr>
        <w:pStyle w:val="a3"/>
        <w:ind w:left="363" w:right="357"/>
        <w:jc w:val="center"/>
        <w:rPr>
          <w:sz w:val="24"/>
          <w:szCs w:val="24"/>
        </w:rPr>
      </w:pPr>
      <w:r w:rsidRPr="00052E52">
        <w:rPr>
          <w:sz w:val="24"/>
          <w:szCs w:val="24"/>
        </w:rPr>
        <w:t>С</w:t>
      </w:r>
      <w:r>
        <w:rPr>
          <w:sz w:val="24"/>
          <w:szCs w:val="24"/>
        </w:rPr>
        <w:t>молькина</w:t>
      </w:r>
      <w:r w:rsidRPr="00052E52">
        <w:rPr>
          <w:sz w:val="24"/>
          <w:szCs w:val="24"/>
        </w:rPr>
        <w:t xml:space="preserve"> </w:t>
      </w:r>
      <w:r w:rsidR="00052E52" w:rsidRPr="00052E52">
        <w:rPr>
          <w:sz w:val="24"/>
          <w:szCs w:val="24"/>
        </w:rPr>
        <w:t>А</w:t>
      </w:r>
      <w:r>
        <w:rPr>
          <w:sz w:val="24"/>
          <w:szCs w:val="24"/>
        </w:rPr>
        <w:t xml:space="preserve">нтонина </w:t>
      </w:r>
      <w:r w:rsidR="00052E52" w:rsidRPr="00052E52">
        <w:rPr>
          <w:sz w:val="24"/>
          <w:szCs w:val="24"/>
        </w:rPr>
        <w:t>В</w:t>
      </w:r>
      <w:r>
        <w:rPr>
          <w:sz w:val="24"/>
          <w:szCs w:val="24"/>
        </w:rPr>
        <w:t>асильевна</w:t>
      </w:r>
      <w:r w:rsidR="00052E52" w:rsidRPr="00052E52">
        <w:rPr>
          <w:sz w:val="24"/>
          <w:szCs w:val="24"/>
        </w:rPr>
        <w:t>,</w:t>
      </w:r>
      <w:r>
        <w:rPr>
          <w:sz w:val="24"/>
          <w:szCs w:val="24"/>
        </w:rPr>
        <w:t xml:space="preserve">     </w:t>
      </w:r>
    </w:p>
    <w:p w:rsidR="00367650" w:rsidRDefault="00367650" w:rsidP="00367650">
      <w:pPr>
        <w:pStyle w:val="a3"/>
        <w:ind w:left="363" w:right="35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Научный руководитель, профессор, д.м.н.                 </w:t>
      </w:r>
    </w:p>
    <w:p w:rsidR="00367650" w:rsidRDefault="00367650" w:rsidP="00367650">
      <w:pPr>
        <w:pStyle w:val="a3"/>
        <w:ind w:left="363" w:right="35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Янголенко Дмитрий Владимирович, </w:t>
      </w:r>
    </w:p>
    <w:p w:rsidR="00367650" w:rsidRDefault="00367650" w:rsidP="00367650">
      <w:pPr>
        <w:pStyle w:val="a3"/>
        <w:ind w:left="363" w:right="357"/>
        <w:jc w:val="center"/>
        <w:rPr>
          <w:sz w:val="24"/>
          <w:szCs w:val="24"/>
        </w:rPr>
      </w:pPr>
      <w:r>
        <w:rPr>
          <w:sz w:val="24"/>
          <w:szCs w:val="24"/>
        </w:rPr>
        <w:t>Научный руководитель, доцент, к.м.н.</w:t>
      </w:r>
    </w:p>
    <w:p w:rsidR="00367650" w:rsidRDefault="00367650" w:rsidP="00367650">
      <w:pPr>
        <w:pStyle w:val="a3"/>
        <w:ind w:left="363" w:right="357"/>
        <w:jc w:val="center"/>
        <w:rPr>
          <w:sz w:val="24"/>
          <w:szCs w:val="24"/>
        </w:rPr>
      </w:pPr>
      <w:r>
        <w:rPr>
          <w:sz w:val="24"/>
          <w:szCs w:val="24"/>
        </w:rPr>
        <w:t>Медицинский факультет</w:t>
      </w:r>
    </w:p>
    <w:p w:rsidR="00052E52" w:rsidRPr="00052E52" w:rsidRDefault="00052E52" w:rsidP="00367650">
      <w:pPr>
        <w:pStyle w:val="a3"/>
        <w:ind w:left="0"/>
        <w:jc w:val="left"/>
        <w:rPr>
          <w:sz w:val="24"/>
          <w:szCs w:val="24"/>
        </w:rPr>
      </w:pPr>
    </w:p>
    <w:p w:rsidR="00367650" w:rsidRPr="00367650" w:rsidRDefault="00367650" w:rsidP="00367650">
      <w:pPr>
        <w:pStyle w:val="a3"/>
        <w:ind w:right="137" w:firstLine="566"/>
        <w:rPr>
          <w:sz w:val="24"/>
          <w:szCs w:val="24"/>
        </w:rPr>
      </w:pPr>
      <w:r w:rsidRPr="00052E52">
        <w:rPr>
          <w:b/>
          <w:sz w:val="24"/>
          <w:szCs w:val="24"/>
        </w:rPr>
        <w:t>Ключевые слова</w:t>
      </w:r>
      <w:r w:rsidRPr="00052E52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параректальный свищ, острый </w:t>
      </w:r>
      <w:r w:rsidRPr="00052E52">
        <w:rPr>
          <w:sz w:val="24"/>
          <w:szCs w:val="24"/>
        </w:rPr>
        <w:t>парапроктит, лейкоцитарный индекс интоксикации, регенеративно- дегенеративный индекс, ультрафиолетовое облучение.</w:t>
      </w:r>
    </w:p>
    <w:p w:rsidR="008018BA" w:rsidRDefault="00052E52" w:rsidP="00367650">
      <w:pPr>
        <w:pStyle w:val="a3"/>
        <w:spacing w:before="230"/>
        <w:ind w:right="137" w:firstLine="566"/>
        <w:rPr>
          <w:sz w:val="24"/>
          <w:szCs w:val="24"/>
        </w:rPr>
      </w:pPr>
      <w:r w:rsidRPr="00052E52">
        <w:rPr>
          <w:b/>
          <w:i/>
          <w:sz w:val="24"/>
          <w:szCs w:val="24"/>
        </w:rPr>
        <w:t>Цель исследования</w:t>
      </w:r>
      <w:r w:rsidRPr="00052E52">
        <w:rPr>
          <w:i/>
          <w:sz w:val="24"/>
          <w:szCs w:val="24"/>
        </w:rPr>
        <w:t xml:space="preserve">: </w:t>
      </w:r>
      <w:r w:rsidRPr="00052E52">
        <w:rPr>
          <w:sz w:val="24"/>
          <w:szCs w:val="24"/>
        </w:rPr>
        <w:t xml:space="preserve">упростить формулу подсчета лейкоцитарного индекса </w:t>
      </w:r>
      <w:r w:rsidR="007558C9">
        <w:rPr>
          <w:sz w:val="24"/>
          <w:szCs w:val="24"/>
        </w:rPr>
        <w:t>интоксика</w:t>
      </w:r>
      <w:r w:rsidRPr="00052E52">
        <w:rPr>
          <w:sz w:val="24"/>
          <w:szCs w:val="24"/>
        </w:rPr>
        <w:t>ции и провести лабораторный мониторинг контроля результатов прово</w:t>
      </w:r>
      <w:r w:rsidR="008018BA">
        <w:rPr>
          <w:sz w:val="24"/>
          <w:szCs w:val="24"/>
        </w:rPr>
        <w:t>димого лечения пациентов с параректальным</w:t>
      </w:r>
      <w:r w:rsidR="007558C9">
        <w:rPr>
          <w:sz w:val="24"/>
          <w:szCs w:val="24"/>
        </w:rPr>
        <w:t>и</w:t>
      </w:r>
      <w:r w:rsidR="008018BA">
        <w:rPr>
          <w:sz w:val="24"/>
          <w:szCs w:val="24"/>
        </w:rPr>
        <w:t xml:space="preserve"> свищ</w:t>
      </w:r>
      <w:r w:rsidR="007558C9">
        <w:rPr>
          <w:sz w:val="24"/>
          <w:szCs w:val="24"/>
        </w:rPr>
        <w:t>ами</w:t>
      </w:r>
      <w:r w:rsidR="008018BA">
        <w:rPr>
          <w:sz w:val="24"/>
          <w:szCs w:val="24"/>
        </w:rPr>
        <w:t>, осложненным</w:t>
      </w:r>
      <w:r w:rsidR="007558C9">
        <w:rPr>
          <w:sz w:val="24"/>
          <w:szCs w:val="24"/>
        </w:rPr>
        <w:t>и</w:t>
      </w:r>
      <w:r w:rsidR="008018BA">
        <w:rPr>
          <w:sz w:val="24"/>
          <w:szCs w:val="24"/>
        </w:rPr>
        <w:t xml:space="preserve"> ост</w:t>
      </w:r>
      <w:r w:rsidRPr="00052E52">
        <w:rPr>
          <w:sz w:val="24"/>
          <w:szCs w:val="24"/>
        </w:rPr>
        <w:t>рым парапроктитом в сравнении с</w:t>
      </w:r>
      <w:r w:rsidR="008018BA">
        <w:rPr>
          <w:sz w:val="24"/>
          <w:szCs w:val="24"/>
        </w:rPr>
        <w:t xml:space="preserve"> </w:t>
      </w:r>
      <w:r w:rsidRPr="00052E52">
        <w:rPr>
          <w:sz w:val="24"/>
          <w:szCs w:val="24"/>
        </w:rPr>
        <w:t>применением</w:t>
      </w:r>
      <w:r w:rsidR="008018BA">
        <w:rPr>
          <w:sz w:val="24"/>
          <w:szCs w:val="24"/>
        </w:rPr>
        <w:t xml:space="preserve"> </w:t>
      </w:r>
      <w:r w:rsidRPr="00052E52">
        <w:rPr>
          <w:sz w:val="24"/>
          <w:szCs w:val="24"/>
        </w:rPr>
        <w:t>раздельного ультрафиолетового</w:t>
      </w:r>
      <w:r w:rsidR="008018BA">
        <w:rPr>
          <w:sz w:val="24"/>
          <w:szCs w:val="24"/>
        </w:rPr>
        <w:t xml:space="preserve"> </w:t>
      </w:r>
      <w:r w:rsidRPr="00052E52">
        <w:rPr>
          <w:sz w:val="24"/>
          <w:szCs w:val="24"/>
        </w:rPr>
        <w:t>облучения</w:t>
      </w:r>
      <w:r w:rsidR="008018BA">
        <w:rPr>
          <w:sz w:val="24"/>
          <w:szCs w:val="24"/>
        </w:rPr>
        <w:t xml:space="preserve"> </w:t>
      </w:r>
      <w:r w:rsidRPr="00052E52">
        <w:rPr>
          <w:sz w:val="24"/>
          <w:szCs w:val="24"/>
        </w:rPr>
        <w:t xml:space="preserve">компонентов аутокрови. </w:t>
      </w:r>
    </w:p>
    <w:p w:rsidR="00052E52" w:rsidRPr="00052E52" w:rsidRDefault="00052E52" w:rsidP="00367650">
      <w:pPr>
        <w:pStyle w:val="a3"/>
        <w:spacing w:before="230"/>
        <w:ind w:right="137" w:firstLine="566"/>
        <w:rPr>
          <w:sz w:val="24"/>
          <w:szCs w:val="24"/>
        </w:rPr>
      </w:pPr>
      <w:r w:rsidRPr="00052E52">
        <w:rPr>
          <w:b/>
          <w:i/>
          <w:sz w:val="24"/>
          <w:szCs w:val="24"/>
        </w:rPr>
        <w:t>Материалы и методы исследования</w:t>
      </w:r>
      <w:r w:rsidRPr="00052E52">
        <w:rPr>
          <w:i/>
          <w:sz w:val="24"/>
          <w:szCs w:val="24"/>
        </w:rPr>
        <w:t xml:space="preserve">. </w:t>
      </w:r>
      <w:r w:rsidRPr="00052E52">
        <w:rPr>
          <w:sz w:val="24"/>
          <w:szCs w:val="24"/>
        </w:rPr>
        <w:t>Исследования прово</w:t>
      </w:r>
      <w:r w:rsidR="008018BA">
        <w:rPr>
          <w:sz w:val="24"/>
          <w:szCs w:val="24"/>
        </w:rPr>
        <w:t>дились в Ульяновском государст</w:t>
      </w:r>
      <w:r w:rsidRPr="00052E52">
        <w:rPr>
          <w:sz w:val="24"/>
          <w:szCs w:val="24"/>
        </w:rPr>
        <w:t>венном университете. В работе пр</w:t>
      </w:r>
      <w:r w:rsidR="007558C9">
        <w:rPr>
          <w:sz w:val="24"/>
          <w:szCs w:val="24"/>
        </w:rPr>
        <w:t>едставлены результаты лечения 52</w:t>
      </w:r>
      <w:r w:rsidRPr="00052E52">
        <w:rPr>
          <w:sz w:val="24"/>
          <w:szCs w:val="24"/>
        </w:rPr>
        <w:t xml:space="preserve"> пациентов, старше 18 лет, </w:t>
      </w:r>
      <w:r w:rsidR="008018BA">
        <w:rPr>
          <w:sz w:val="24"/>
          <w:szCs w:val="24"/>
        </w:rPr>
        <w:t>с наличием в анамнезе параректального свища, осложненного ост</w:t>
      </w:r>
      <w:r w:rsidR="008018BA" w:rsidRPr="00052E52">
        <w:rPr>
          <w:sz w:val="24"/>
          <w:szCs w:val="24"/>
        </w:rPr>
        <w:t>рым парапроктитом</w:t>
      </w:r>
      <w:r w:rsidRPr="00052E52">
        <w:rPr>
          <w:sz w:val="24"/>
          <w:szCs w:val="24"/>
        </w:rPr>
        <w:t>. На основе формулы лейкоцитарного индекса интоксик</w:t>
      </w:r>
      <w:r w:rsidR="008018BA">
        <w:rPr>
          <w:sz w:val="24"/>
          <w:szCs w:val="24"/>
        </w:rPr>
        <w:t>ации Я.Я. Кальф-Калифа, для оп</w:t>
      </w:r>
      <w:r w:rsidRPr="00052E52">
        <w:rPr>
          <w:sz w:val="24"/>
          <w:szCs w:val="24"/>
        </w:rPr>
        <w:t xml:space="preserve">ределения процентного отношения содержания нейтрофилов к остальным клеткам </w:t>
      </w:r>
      <w:r w:rsidR="007558C9">
        <w:rPr>
          <w:sz w:val="24"/>
          <w:szCs w:val="24"/>
        </w:rPr>
        <w:t xml:space="preserve">крови, мы </w:t>
      </w:r>
      <w:r w:rsidRPr="00052E52">
        <w:rPr>
          <w:sz w:val="24"/>
          <w:szCs w:val="24"/>
        </w:rPr>
        <w:t>разработали более упрощенную формулу определения лейкоцитарного индекса интоксикации:</w:t>
      </w:r>
    </w:p>
    <w:p w:rsidR="008018BA" w:rsidRDefault="00052E52" w:rsidP="00367650">
      <w:pPr>
        <w:pStyle w:val="a3"/>
        <w:ind w:left="3394" w:right="3596" w:firstLine="580"/>
        <w:jc w:val="left"/>
        <w:rPr>
          <w:spacing w:val="-2"/>
          <w:sz w:val="24"/>
          <w:szCs w:val="24"/>
        </w:rPr>
      </w:pPr>
      <w:r w:rsidRPr="00052E52">
        <w:rPr>
          <w:sz w:val="24"/>
          <w:szCs w:val="24"/>
        </w:rPr>
        <w:pict>
          <v:line id="_x0000_s1026" style="position:absolute;left:0;text-align:left;z-index:251660288;mso-position-horizontal-relative:page" from="265.35pt,18.6pt" to="361.85pt,18.6pt" strokeweight=".26158mm">
            <v:stroke dashstyle="dash"/>
            <w10:wrap anchorx="page"/>
          </v:line>
        </w:pict>
      </w:r>
      <w:r w:rsidRPr="00052E52">
        <w:rPr>
          <w:spacing w:val="-2"/>
          <w:sz w:val="24"/>
          <w:szCs w:val="24"/>
        </w:rPr>
        <w:t>М+Пл.+Ю+П+</w:t>
      </w:r>
    </w:p>
    <w:p w:rsidR="00052E52" w:rsidRPr="00052E52" w:rsidRDefault="00052E52" w:rsidP="00367650">
      <w:pPr>
        <w:pStyle w:val="a3"/>
        <w:ind w:left="3394" w:right="3596" w:hanging="700"/>
        <w:jc w:val="left"/>
        <w:rPr>
          <w:sz w:val="24"/>
          <w:szCs w:val="24"/>
        </w:rPr>
      </w:pPr>
      <w:r w:rsidRPr="00052E52">
        <w:rPr>
          <w:sz w:val="24"/>
          <w:szCs w:val="24"/>
        </w:rPr>
        <w:t>ЛИИ =</w:t>
      </w:r>
    </w:p>
    <w:p w:rsidR="00052E52" w:rsidRPr="00052E52" w:rsidRDefault="00052E52" w:rsidP="00367650">
      <w:pPr>
        <w:pStyle w:val="a3"/>
        <w:ind w:left="52"/>
        <w:jc w:val="center"/>
        <w:rPr>
          <w:sz w:val="24"/>
          <w:szCs w:val="24"/>
        </w:rPr>
      </w:pPr>
      <w:r w:rsidRPr="00052E52">
        <w:rPr>
          <w:spacing w:val="-2"/>
          <w:sz w:val="24"/>
          <w:szCs w:val="24"/>
        </w:rPr>
        <w:t>Л+Мон.+Э+Б</w:t>
      </w:r>
    </w:p>
    <w:p w:rsidR="008018BA" w:rsidRPr="008018BA" w:rsidRDefault="00052E52" w:rsidP="00367650">
      <w:pPr>
        <w:pStyle w:val="a3"/>
        <w:ind w:right="137"/>
        <w:rPr>
          <w:i/>
          <w:sz w:val="24"/>
          <w:szCs w:val="24"/>
          <w:u w:val="single"/>
        </w:rPr>
      </w:pPr>
      <w:r w:rsidRPr="008018BA">
        <w:rPr>
          <w:i/>
          <w:sz w:val="24"/>
          <w:szCs w:val="24"/>
          <w:u w:val="single"/>
        </w:rPr>
        <w:t xml:space="preserve">где М – миелоциты, Ю – юные, П – палочкоядерные, С – сегментоядерные, Пл – плазматические клетки Тюрка, Л-лимфоциты, Мон. – моноциты, Э – эозинофилы, Б – базофилы. </w:t>
      </w:r>
    </w:p>
    <w:p w:rsidR="008018BA" w:rsidRDefault="008018BA" w:rsidP="00367650">
      <w:pPr>
        <w:pStyle w:val="a3"/>
        <w:ind w:right="137"/>
        <w:rPr>
          <w:sz w:val="24"/>
          <w:szCs w:val="24"/>
        </w:rPr>
      </w:pPr>
    </w:p>
    <w:p w:rsidR="00052E52" w:rsidRPr="00052E52" w:rsidRDefault="00052E52" w:rsidP="00367650">
      <w:pPr>
        <w:pStyle w:val="a3"/>
        <w:ind w:right="137" w:firstLine="566"/>
        <w:rPr>
          <w:sz w:val="24"/>
          <w:szCs w:val="24"/>
        </w:rPr>
      </w:pPr>
      <w:r w:rsidRPr="00052E52">
        <w:rPr>
          <w:sz w:val="24"/>
          <w:szCs w:val="24"/>
        </w:rPr>
        <w:t xml:space="preserve">Для контроля эффективности лечения </w:t>
      </w:r>
      <w:r w:rsidR="007558C9">
        <w:rPr>
          <w:sz w:val="24"/>
          <w:szCs w:val="24"/>
        </w:rPr>
        <w:t xml:space="preserve">такого серьезного осложнения параректального свища, как </w:t>
      </w:r>
      <w:r w:rsidRPr="00052E52">
        <w:rPr>
          <w:sz w:val="24"/>
          <w:szCs w:val="24"/>
        </w:rPr>
        <w:t>остр</w:t>
      </w:r>
      <w:r w:rsidR="007558C9">
        <w:rPr>
          <w:sz w:val="24"/>
          <w:szCs w:val="24"/>
        </w:rPr>
        <w:t>ый</w:t>
      </w:r>
      <w:r w:rsidRPr="00052E52">
        <w:rPr>
          <w:sz w:val="24"/>
          <w:szCs w:val="24"/>
        </w:rPr>
        <w:t xml:space="preserve"> парапрокти</w:t>
      </w:r>
      <w:r w:rsidR="007558C9">
        <w:rPr>
          <w:sz w:val="24"/>
          <w:szCs w:val="24"/>
        </w:rPr>
        <w:t>т,</w:t>
      </w:r>
      <w:r w:rsidRPr="00052E52">
        <w:rPr>
          <w:sz w:val="24"/>
          <w:szCs w:val="24"/>
        </w:rPr>
        <w:t xml:space="preserve"> были использованы лейкоцитарные</w:t>
      </w:r>
      <w:r w:rsidR="008018BA">
        <w:rPr>
          <w:sz w:val="24"/>
          <w:szCs w:val="24"/>
        </w:rPr>
        <w:t xml:space="preserve"> </w:t>
      </w:r>
      <w:r w:rsidRPr="00052E52">
        <w:rPr>
          <w:sz w:val="24"/>
          <w:szCs w:val="24"/>
        </w:rPr>
        <w:t>индексы</w:t>
      </w:r>
      <w:r w:rsidR="008018BA">
        <w:rPr>
          <w:sz w:val="24"/>
          <w:szCs w:val="24"/>
        </w:rPr>
        <w:t xml:space="preserve"> </w:t>
      </w:r>
      <w:r w:rsidRPr="00052E52">
        <w:rPr>
          <w:sz w:val="24"/>
          <w:szCs w:val="24"/>
        </w:rPr>
        <w:t>интоксикации</w:t>
      </w:r>
      <w:r w:rsidR="008018BA">
        <w:rPr>
          <w:sz w:val="24"/>
          <w:szCs w:val="24"/>
        </w:rPr>
        <w:t xml:space="preserve"> по предложен</w:t>
      </w:r>
      <w:r w:rsidRPr="00052E52">
        <w:rPr>
          <w:sz w:val="24"/>
          <w:szCs w:val="24"/>
        </w:rPr>
        <w:t>ной нами формуле и регенеративно-дегенеративный индекс. Норма ле</w:t>
      </w:r>
      <w:r w:rsidR="008018BA">
        <w:rPr>
          <w:sz w:val="24"/>
          <w:szCs w:val="24"/>
        </w:rPr>
        <w:t>йкоцитарного индекса интоксика</w:t>
      </w:r>
      <w:r w:rsidRPr="00052E52">
        <w:rPr>
          <w:sz w:val="24"/>
          <w:szCs w:val="24"/>
        </w:rPr>
        <w:t>ции составляет от 1 до 3 усл.ед., а норма регенеративно-дегенеративного индекса от 1 усл.ед. и более</w:t>
      </w:r>
      <w:r w:rsidR="00AA5E55" w:rsidRPr="00AA5E55">
        <w:rPr>
          <w:sz w:val="24"/>
          <w:szCs w:val="24"/>
        </w:rPr>
        <w:t>[1</w:t>
      </w:r>
      <w:r w:rsidR="00AA5E55">
        <w:rPr>
          <w:sz w:val="24"/>
          <w:szCs w:val="24"/>
        </w:rPr>
        <w:t>,2</w:t>
      </w:r>
      <w:r w:rsidR="00AA5E55" w:rsidRPr="00AA5E55">
        <w:rPr>
          <w:sz w:val="24"/>
          <w:szCs w:val="24"/>
        </w:rPr>
        <w:t>]</w:t>
      </w:r>
      <w:r w:rsidRPr="00052E52">
        <w:rPr>
          <w:sz w:val="24"/>
          <w:szCs w:val="24"/>
        </w:rPr>
        <w:t>. Лейкоцитарный индекс интоксикации крови является отношением про</w:t>
      </w:r>
      <w:r w:rsidR="008018BA">
        <w:rPr>
          <w:sz w:val="24"/>
          <w:szCs w:val="24"/>
        </w:rPr>
        <w:t>центного содержания клеток ней</w:t>
      </w:r>
      <w:r w:rsidRPr="00052E52">
        <w:rPr>
          <w:sz w:val="24"/>
          <w:szCs w:val="24"/>
        </w:rPr>
        <w:t>трофильного ряда к остальным клеткам. Регенеративно-дегенеративны</w:t>
      </w:r>
      <w:r w:rsidR="008018BA">
        <w:rPr>
          <w:sz w:val="24"/>
          <w:szCs w:val="24"/>
        </w:rPr>
        <w:t>й индекс представляет собой от</w:t>
      </w:r>
      <w:r w:rsidRPr="00052E52">
        <w:rPr>
          <w:sz w:val="24"/>
          <w:szCs w:val="24"/>
        </w:rPr>
        <w:t>ношение</w:t>
      </w:r>
      <w:r w:rsidR="008018BA">
        <w:rPr>
          <w:sz w:val="24"/>
          <w:szCs w:val="24"/>
        </w:rPr>
        <w:t xml:space="preserve"> </w:t>
      </w:r>
      <w:r w:rsidRPr="00052E52">
        <w:rPr>
          <w:sz w:val="24"/>
          <w:szCs w:val="24"/>
        </w:rPr>
        <w:t>количества</w:t>
      </w:r>
      <w:r w:rsidR="008018BA">
        <w:rPr>
          <w:sz w:val="24"/>
          <w:szCs w:val="24"/>
        </w:rPr>
        <w:t xml:space="preserve"> </w:t>
      </w:r>
      <w:r w:rsidRPr="00052E52">
        <w:rPr>
          <w:sz w:val="24"/>
          <w:szCs w:val="24"/>
        </w:rPr>
        <w:t>сохранных форм</w:t>
      </w:r>
      <w:r w:rsidR="008018BA">
        <w:rPr>
          <w:sz w:val="24"/>
          <w:szCs w:val="24"/>
        </w:rPr>
        <w:t xml:space="preserve"> </w:t>
      </w:r>
      <w:r w:rsidRPr="00052E52">
        <w:rPr>
          <w:sz w:val="24"/>
          <w:szCs w:val="24"/>
        </w:rPr>
        <w:t>нейтрофилов произведению количества</w:t>
      </w:r>
      <w:r w:rsidR="008018BA">
        <w:rPr>
          <w:sz w:val="24"/>
          <w:szCs w:val="24"/>
        </w:rPr>
        <w:t xml:space="preserve"> дегенеративных форм ней</w:t>
      </w:r>
      <w:r w:rsidRPr="00052E52">
        <w:rPr>
          <w:sz w:val="24"/>
          <w:szCs w:val="24"/>
        </w:rPr>
        <w:t>трофилов и общего числа нейтрофилов. Результат данного отношения умножается</w:t>
      </w:r>
      <w:r w:rsidR="008018BA">
        <w:rPr>
          <w:sz w:val="24"/>
          <w:szCs w:val="24"/>
        </w:rPr>
        <w:t xml:space="preserve"> на 100</w:t>
      </w:r>
      <w:r w:rsidR="00AA5E55">
        <w:rPr>
          <w:sz w:val="24"/>
          <w:szCs w:val="24"/>
          <w:lang w:val="en-US"/>
        </w:rPr>
        <w:t>[3]</w:t>
      </w:r>
      <w:r w:rsidR="008018BA">
        <w:rPr>
          <w:sz w:val="24"/>
          <w:szCs w:val="24"/>
        </w:rPr>
        <w:t>. Для исследо</w:t>
      </w:r>
      <w:r w:rsidRPr="00052E52">
        <w:rPr>
          <w:sz w:val="24"/>
          <w:szCs w:val="24"/>
        </w:rPr>
        <w:t>вания регенеративно-дегенеративного индекса берётся раневое содер</w:t>
      </w:r>
      <w:r w:rsidR="008018BA">
        <w:rPr>
          <w:sz w:val="24"/>
          <w:szCs w:val="24"/>
        </w:rPr>
        <w:t>жимое. Лейкоцитарный индекс ин</w:t>
      </w:r>
      <w:r w:rsidRPr="00052E52">
        <w:rPr>
          <w:sz w:val="24"/>
          <w:szCs w:val="24"/>
        </w:rPr>
        <w:t>токсикации и регенеративно-дегенеративный индекс был изучен в гру</w:t>
      </w:r>
      <w:r w:rsidR="008018BA">
        <w:rPr>
          <w:sz w:val="24"/>
          <w:szCs w:val="24"/>
        </w:rPr>
        <w:t>ппе из 25 больных, которым при</w:t>
      </w:r>
      <w:r w:rsidRPr="00052E52">
        <w:rPr>
          <w:sz w:val="24"/>
          <w:szCs w:val="24"/>
        </w:rPr>
        <w:t>меняли общепринятое лечение, во второй группе из 21 пациента, у которых использовалось обычное ле- чение и в третьей группе из 11 больных, у которых применялось разд</w:t>
      </w:r>
      <w:r w:rsidR="008018BA">
        <w:rPr>
          <w:sz w:val="24"/>
          <w:szCs w:val="24"/>
        </w:rPr>
        <w:t>ельное ультрафиолетовое облуче</w:t>
      </w:r>
      <w:r w:rsidRPr="00052E52">
        <w:rPr>
          <w:sz w:val="24"/>
          <w:szCs w:val="24"/>
        </w:rPr>
        <w:t xml:space="preserve">ние компонентов аутокрови, </w:t>
      </w:r>
      <w:r w:rsidRPr="00052E52">
        <w:rPr>
          <w:sz w:val="24"/>
          <w:szCs w:val="24"/>
        </w:rPr>
        <w:lastRenderedPageBreak/>
        <w:t>заключающееся в том, что в аппарате посл</w:t>
      </w:r>
      <w:r w:rsidR="008018BA">
        <w:rPr>
          <w:sz w:val="24"/>
          <w:szCs w:val="24"/>
        </w:rPr>
        <w:t>е разделения крови на эритроци</w:t>
      </w:r>
      <w:r w:rsidRPr="00052E52">
        <w:rPr>
          <w:sz w:val="24"/>
          <w:szCs w:val="24"/>
        </w:rPr>
        <w:t>тарную массу и лейковзвесь вначале облучается эритроцитарная масса,</w:t>
      </w:r>
      <w:r w:rsidR="008018BA">
        <w:rPr>
          <w:sz w:val="24"/>
          <w:szCs w:val="24"/>
        </w:rPr>
        <w:t xml:space="preserve"> а затем лейковзвесь</w:t>
      </w:r>
      <w:r w:rsidR="00AA5E55" w:rsidRPr="00AA5E55">
        <w:rPr>
          <w:sz w:val="24"/>
          <w:szCs w:val="24"/>
        </w:rPr>
        <w:t>[4</w:t>
      </w:r>
      <w:r w:rsidR="00AA5E55">
        <w:rPr>
          <w:sz w:val="24"/>
          <w:szCs w:val="24"/>
        </w:rPr>
        <w:t>,5,6</w:t>
      </w:r>
      <w:r w:rsidR="00AA5E55" w:rsidRPr="00AA5E55">
        <w:rPr>
          <w:sz w:val="24"/>
          <w:szCs w:val="24"/>
        </w:rPr>
        <w:t>]</w:t>
      </w:r>
      <w:r w:rsidR="008018BA">
        <w:rPr>
          <w:sz w:val="24"/>
          <w:szCs w:val="24"/>
        </w:rPr>
        <w:t>. Метод по</w:t>
      </w:r>
      <w:r w:rsidRPr="00052E52">
        <w:rPr>
          <w:sz w:val="24"/>
          <w:szCs w:val="24"/>
        </w:rPr>
        <w:t>зволяет производить более полное облучение лейкоцитов крови, отв</w:t>
      </w:r>
      <w:r w:rsidR="008018BA">
        <w:rPr>
          <w:sz w:val="24"/>
          <w:szCs w:val="24"/>
        </w:rPr>
        <w:t>етственных за противоинфекцион</w:t>
      </w:r>
      <w:r w:rsidRPr="00052E52">
        <w:rPr>
          <w:sz w:val="24"/>
          <w:szCs w:val="24"/>
        </w:rPr>
        <w:t xml:space="preserve">ную защиту организма. </w:t>
      </w:r>
    </w:p>
    <w:p w:rsidR="008018BA" w:rsidRDefault="008018BA" w:rsidP="00367650">
      <w:pPr>
        <w:pStyle w:val="a3"/>
        <w:ind w:right="137"/>
        <w:rPr>
          <w:b/>
          <w:i/>
          <w:sz w:val="24"/>
          <w:szCs w:val="24"/>
        </w:rPr>
      </w:pPr>
    </w:p>
    <w:p w:rsidR="00367650" w:rsidRDefault="00052E52" w:rsidP="006337E8">
      <w:pPr>
        <w:pStyle w:val="a3"/>
        <w:ind w:right="137" w:firstLine="566"/>
        <w:rPr>
          <w:i/>
          <w:sz w:val="24"/>
          <w:szCs w:val="24"/>
        </w:rPr>
      </w:pPr>
      <w:r w:rsidRPr="00052E52">
        <w:rPr>
          <w:b/>
          <w:i/>
          <w:sz w:val="24"/>
          <w:szCs w:val="24"/>
        </w:rPr>
        <w:t>Результаты и их обсуждение</w:t>
      </w:r>
      <w:r w:rsidRPr="00052E52">
        <w:rPr>
          <w:i/>
          <w:sz w:val="24"/>
          <w:szCs w:val="24"/>
        </w:rPr>
        <w:t xml:space="preserve">. </w:t>
      </w:r>
    </w:p>
    <w:p w:rsidR="008018BA" w:rsidRDefault="00052E52" w:rsidP="006337E8">
      <w:pPr>
        <w:pStyle w:val="a3"/>
        <w:ind w:right="137" w:firstLine="566"/>
        <w:rPr>
          <w:sz w:val="24"/>
          <w:szCs w:val="24"/>
        </w:rPr>
      </w:pPr>
      <w:r w:rsidRPr="00052E52">
        <w:rPr>
          <w:sz w:val="24"/>
          <w:szCs w:val="24"/>
        </w:rPr>
        <w:t>На момент вскрытия и дренирования гнойной полости лейкоцитарн</w:t>
      </w:r>
      <w:r w:rsidR="008018BA">
        <w:rPr>
          <w:sz w:val="24"/>
          <w:szCs w:val="24"/>
        </w:rPr>
        <w:t>ый</w:t>
      </w:r>
      <w:r w:rsidRPr="00052E52">
        <w:rPr>
          <w:sz w:val="24"/>
          <w:szCs w:val="24"/>
        </w:rPr>
        <w:t xml:space="preserve"> индекс интоксикации соответственно по группам состав</w:t>
      </w:r>
      <w:r w:rsidR="008018BA">
        <w:rPr>
          <w:sz w:val="24"/>
          <w:szCs w:val="24"/>
        </w:rPr>
        <w:t>ил 4,2±0,2; 4,3±0,3 и 4,2±0,3. Ч</w:t>
      </w:r>
      <w:r w:rsidRPr="00052E52">
        <w:rPr>
          <w:sz w:val="24"/>
          <w:szCs w:val="24"/>
        </w:rPr>
        <w:t>ерез 10 дней после лечения лейкоцитарн</w:t>
      </w:r>
      <w:r w:rsidR="008018BA">
        <w:rPr>
          <w:sz w:val="24"/>
          <w:szCs w:val="24"/>
        </w:rPr>
        <w:t>ый</w:t>
      </w:r>
      <w:r w:rsidRPr="00052E52">
        <w:rPr>
          <w:sz w:val="24"/>
          <w:szCs w:val="24"/>
        </w:rPr>
        <w:t xml:space="preserve"> индекс интоксикации соответственно составил 2,2±0,2; 2,1±0,3 и 1,8±0,2. Снижение лейкоцитарного</w:t>
      </w:r>
      <w:r w:rsidR="008018BA">
        <w:rPr>
          <w:sz w:val="24"/>
          <w:szCs w:val="24"/>
        </w:rPr>
        <w:t xml:space="preserve"> </w:t>
      </w:r>
      <w:r w:rsidRPr="00052E52">
        <w:rPr>
          <w:sz w:val="24"/>
          <w:szCs w:val="24"/>
        </w:rPr>
        <w:t>индекса</w:t>
      </w:r>
      <w:r w:rsidR="008018BA">
        <w:rPr>
          <w:sz w:val="24"/>
          <w:szCs w:val="24"/>
        </w:rPr>
        <w:t xml:space="preserve"> </w:t>
      </w:r>
      <w:r w:rsidRPr="00052E52">
        <w:rPr>
          <w:sz w:val="24"/>
          <w:szCs w:val="24"/>
        </w:rPr>
        <w:t>интоксикации</w:t>
      </w:r>
      <w:r w:rsidR="008018BA">
        <w:rPr>
          <w:sz w:val="24"/>
          <w:szCs w:val="24"/>
        </w:rPr>
        <w:t xml:space="preserve"> </w:t>
      </w:r>
      <w:r w:rsidRPr="00052E52">
        <w:rPr>
          <w:sz w:val="24"/>
          <w:szCs w:val="24"/>
        </w:rPr>
        <w:t>здесь между группами после лечения не было достоверным (</w:t>
      </w:r>
      <w:r w:rsidRPr="00052E52">
        <w:rPr>
          <w:i/>
          <w:sz w:val="24"/>
          <w:szCs w:val="24"/>
        </w:rPr>
        <w:t>р</w:t>
      </w:r>
      <w:r w:rsidRPr="00052E52">
        <w:rPr>
          <w:sz w:val="24"/>
          <w:szCs w:val="24"/>
        </w:rPr>
        <w:t>&gt;0,5). Показатели регенеративно-деген</w:t>
      </w:r>
      <w:r w:rsidR="008018BA">
        <w:rPr>
          <w:sz w:val="24"/>
          <w:szCs w:val="24"/>
        </w:rPr>
        <w:t>еративного индекса при дрениро</w:t>
      </w:r>
      <w:r w:rsidRPr="00052E52">
        <w:rPr>
          <w:sz w:val="24"/>
          <w:szCs w:val="24"/>
        </w:rPr>
        <w:t>вании по группам соответственно составил 0,61±0,03; 0,62±0,02 и 0,61±0,02. Через 10 дней э</w:t>
      </w:r>
      <w:r w:rsidR="008018BA">
        <w:rPr>
          <w:sz w:val="24"/>
          <w:szCs w:val="24"/>
        </w:rPr>
        <w:t>ти показате</w:t>
      </w:r>
      <w:r w:rsidRPr="00052E52">
        <w:rPr>
          <w:sz w:val="24"/>
          <w:szCs w:val="24"/>
        </w:rPr>
        <w:t>ли соответственно составили 10,1±0,1; 19,0±0,2 и 27,2±0,2. Повышени</w:t>
      </w:r>
      <w:r w:rsidR="008018BA">
        <w:rPr>
          <w:sz w:val="24"/>
          <w:szCs w:val="24"/>
        </w:rPr>
        <w:t xml:space="preserve">е регенеративно-дегенеративного </w:t>
      </w:r>
      <w:r w:rsidRPr="00052E52">
        <w:rPr>
          <w:sz w:val="24"/>
          <w:szCs w:val="24"/>
        </w:rPr>
        <w:t>индекса</w:t>
      </w:r>
      <w:r w:rsidR="008018BA">
        <w:rPr>
          <w:sz w:val="24"/>
          <w:szCs w:val="24"/>
        </w:rPr>
        <w:t xml:space="preserve"> </w:t>
      </w:r>
      <w:r w:rsidRPr="00052E52">
        <w:rPr>
          <w:sz w:val="24"/>
          <w:szCs w:val="24"/>
        </w:rPr>
        <w:t>после</w:t>
      </w:r>
      <w:r w:rsidR="008018BA">
        <w:rPr>
          <w:sz w:val="24"/>
          <w:szCs w:val="24"/>
        </w:rPr>
        <w:t xml:space="preserve"> </w:t>
      </w:r>
      <w:r w:rsidRPr="00052E52">
        <w:rPr>
          <w:sz w:val="24"/>
          <w:szCs w:val="24"/>
        </w:rPr>
        <w:t>дренирования</w:t>
      </w:r>
      <w:r w:rsidR="008018BA">
        <w:rPr>
          <w:sz w:val="24"/>
          <w:szCs w:val="24"/>
        </w:rPr>
        <w:t xml:space="preserve"> </w:t>
      </w:r>
      <w:r w:rsidRPr="00052E52">
        <w:rPr>
          <w:sz w:val="24"/>
          <w:szCs w:val="24"/>
        </w:rPr>
        <w:t>гнойных</w:t>
      </w:r>
      <w:r w:rsidR="008018BA">
        <w:rPr>
          <w:sz w:val="24"/>
          <w:szCs w:val="24"/>
        </w:rPr>
        <w:t xml:space="preserve"> </w:t>
      </w:r>
      <w:r w:rsidRPr="00052E52">
        <w:rPr>
          <w:sz w:val="24"/>
          <w:szCs w:val="24"/>
        </w:rPr>
        <w:t>полостей</w:t>
      </w:r>
      <w:r w:rsidR="008018BA">
        <w:rPr>
          <w:sz w:val="24"/>
          <w:szCs w:val="24"/>
        </w:rPr>
        <w:t xml:space="preserve"> </w:t>
      </w:r>
      <w:r w:rsidRPr="00052E52">
        <w:rPr>
          <w:sz w:val="24"/>
          <w:szCs w:val="24"/>
        </w:rPr>
        <w:t>было</w:t>
      </w:r>
      <w:r w:rsidR="008018BA">
        <w:rPr>
          <w:sz w:val="24"/>
          <w:szCs w:val="24"/>
        </w:rPr>
        <w:t xml:space="preserve"> </w:t>
      </w:r>
      <w:r w:rsidRPr="00052E52">
        <w:rPr>
          <w:sz w:val="24"/>
          <w:szCs w:val="24"/>
        </w:rPr>
        <w:t>достоверно</w:t>
      </w:r>
      <w:r w:rsidR="008018BA">
        <w:rPr>
          <w:sz w:val="24"/>
          <w:szCs w:val="24"/>
        </w:rPr>
        <w:t xml:space="preserve"> </w:t>
      </w:r>
      <w:r w:rsidRPr="00052E52">
        <w:rPr>
          <w:sz w:val="24"/>
          <w:szCs w:val="24"/>
        </w:rPr>
        <w:t>выше</w:t>
      </w:r>
      <w:r w:rsidR="008018BA">
        <w:rPr>
          <w:sz w:val="24"/>
          <w:szCs w:val="24"/>
        </w:rPr>
        <w:t xml:space="preserve"> </w:t>
      </w:r>
      <w:r w:rsidRPr="00052E52">
        <w:rPr>
          <w:sz w:val="24"/>
          <w:szCs w:val="24"/>
        </w:rPr>
        <w:t>между</w:t>
      </w:r>
      <w:r w:rsidR="008018BA">
        <w:rPr>
          <w:sz w:val="24"/>
          <w:szCs w:val="24"/>
        </w:rPr>
        <w:t xml:space="preserve"> </w:t>
      </w:r>
      <w:r w:rsidRPr="00052E52">
        <w:rPr>
          <w:sz w:val="24"/>
          <w:szCs w:val="24"/>
        </w:rPr>
        <w:t>первой</w:t>
      </w:r>
      <w:r w:rsidR="008018BA">
        <w:rPr>
          <w:sz w:val="24"/>
          <w:szCs w:val="24"/>
        </w:rPr>
        <w:t xml:space="preserve"> </w:t>
      </w:r>
      <w:r w:rsidRPr="00052E52">
        <w:rPr>
          <w:sz w:val="24"/>
          <w:szCs w:val="24"/>
        </w:rPr>
        <w:t>и</w:t>
      </w:r>
      <w:r w:rsidR="008018BA">
        <w:rPr>
          <w:sz w:val="24"/>
          <w:szCs w:val="24"/>
        </w:rPr>
        <w:t xml:space="preserve"> </w:t>
      </w:r>
      <w:r w:rsidRPr="00052E52">
        <w:rPr>
          <w:sz w:val="24"/>
          <w:szCs w:val="24"/>
        </w:rPr>
        <w:t>второй</w:t>
      </w:r>
      <w:r w:rsidR="008018BA">
        <w:rPr>
          <w:sz w:val="24"/>
          <w:szCs w:val="24"/>
        </w:rPr>
        <w:t xml:space="preserve"> </w:t>
      </w:r>
      <w:r w:rsidRPr="00052E52">
        <w:rPr>
          <w:sz w:val="24"/>
          <w:szCs w:val="24"/>
        </w:rPr>
        <w:t>группами, между первой и третьей, а также между второй и третьей группами (</w:t>
      </w:r>
      <w:r w:rsidRPr="00052E52">
        <w:rPr>
          <w:i/>
          <w:sz w:val="24"/>
          <w:szCs w:val="24"/>
        </w:rPr>
        <w:t>р</w:t>
      </w:r>
      <w:r w:rsidRPr="00052E52">
        <w:rPr>
          <w:sz w:val="24"/>
          <w:szCs w:val="24"/>
        </w:rPr>
        <w:t>&lt;0</w:t>
      </w:r>
      <w:r w:rsidR="008018BA">
        <w:rPr>
          <w:sz w:val="24"/>
          <w:szCs w:val="24"/>
        </w:rPr>
        <w:t>,02-0,001). Таким образом, циф</w:t>
      </w:r>
      <w:r w:rsidRPr="00052E52">
        <w:rPr>
          <w:sz w:val="24"/>
          <w:szCs w:val="24"/>
        </w:rPr>
        <w:t>ровые коэффициенты в общепризнанной формуле лейкоцитарного индекса интоксикации Я.Я. Кальф- Калифа, существуют для усиления значения некоторых клеток лейкоц</w:t>
      </w:r>
      <w:r w:rsidR="008018BA">
        <w:rPr>
          <w:sz w:val="24"/>
          <w:szCs w:val="24"/>
        </w:rPr>
        <w:t>итарной формулы, которые услож</w:t>
      </w:r>
      <w:r w:rsidRPr="00052E52">
        <w:rPr>
          <w:sz w:val="24"/>
          <w:szCs w:val="24"/>
        </w:rPr>
        <w:t>няет подсчет лейкоцитарного индекса интоксикации при остром парапроктите, как гнойно- воспалительном процессе, но не даёт достоверно определить значимость каждой отдельной клетки. К концу лечения во всех группах исследования отмечалось снижение показателя лейкоцитарного индекса интоксикации, сопровождающееся синхронным повышением показателя регенеративно-дегенеративного индекса. Показатель регенеративно-дегенеративного индекса имел наиб</w:t>
      </w:r>
      <w:r w:rsidR="008018BA">
        <w:rPr>
          <w:sz w:val="24"/>
          <w:szCs w:val="24"/>
        </w:rPr>
        <w:t>олее высокий показатель в груп</w:t>
      </w:r>
      <w:r w:rsidRPr="00052E52">
        <w:rPr>
          <w:sz w:val="24"/>
          <w:szCs w:val="24"/>
        </w:rPr>
        <w:t>пе пациентов, у которых применялось раздельное ультрафиолетовое обл</w:t>
      </w:r>
      <w:r w:rsidR="008018BA">
        <w:rPr>
          <w:sz w:val="24"/>
          <w:szCs w:val="24"/>
        </w:rPr>
        <w:t>учение аутокрови, ниже показа</w:t>
      </w:r>
      <w:r w:rsidRPr="00052E52">
        <w:rPr>
          <w:sz w:val="24"/>
          <w:szCs w:val="24"/>
        </w:rPr>
        <w:t xml:space="preserve">тель регенеративно-дегенеративного индекса был у исследуемых, которым производилось обычное ультрафиолетовое облучение аутокрови. Еще более низкий показатель регенеративно-дегенеративного индекса имел место у пациентов, которые получили стандартное лечение. </w:t>
      </w:r>
    </w:p>
    <w:p w:rsidR="006337E8" w:rsidRDefault="006337E8" w:rsidP="00367650">
      <w:pPr>
        <w:pStyle w:val="a3"/>
        <w:ind w:right="137"/>
        <w:rPr>
          <w:b/>
          <w:i/>
          <w:sz w:val="24"/>
          <w:szCs w:val="24"/>
        </w:rPr>
      </w:pPr>
    </w:p>
    <w:p w:rsidR="006337E8" w:rsidRDefault="00052E52" w:rsidP="006337E8">
      <w:pPr>
        <w:pStyle w:val="a3"/>
        <w:ind w:right="137" w:firstLine="566"/>
        <w:rPr>
          <w:i/>
          <w:sz w:val="24"/>
          <w:szCs w:val="24"/>
        </w:rPr>
      </w:pPr>
      <w:r w:rsidRPr="00052E52">
        <w:rPr>
          <w:b/>
          <w:i/>
          <w:sz w:val="24"/>
          <w:szCs w:val="24"/>
        </w:rPr>
        <w:t>Выводы</w:t>
      </w:r>
      <w:r w:rsidRPr="00052E52">
        <w:rPr>
          <w:i/>
          <w:sz w:val="24"/>
          <w:szCs w:val="24"/>
        </w:rPr>
        <w:t xml:space="preserve">. </w:t>
      </w:r>
    </w:p>
    <w:p w:rsidR="00052E52" w:rsidRPr="00052E52" w:rsidRDefault="008018BA" w:rsidP="006337E8">
      <w:pPr>
        <w:pStyle w:val="a3"/>
        <w:ind w:right="137" w:firstLine="566"/>
        <w:rPr>
          <w:sz w:val="24"/>
          <w:szCs w:val="24"/>
        </w:rPr>
      </w:pPr>
      <w:r>
        <w:rPr>
          <w:sz w:val="24"/>
          <w:szCs w:val="24"/>
        </w:rPr>
        <w:t>Обычное соотноше</w:t>
      </w:r>
      <w:r w:rsidR="00052E52" w:rsidRPr="00052E52">
        <w:rPr>
          <w:sz w:val="24"/>
          <w:szCs w:val="24"/>
        </w:rPr>
        <w:t>ние клеток крови</w:t>
      </w:r>
      <w:r>
        <w:rPr>
          <w:sz w:val="24"/>
          <w:szCs w:val="24"/>
        </w:rPr>
        <w:t>,</w:t>
      </w:r>
      <w:r w:rsidR="00052E52" w:rsidRPr="00052E52">
        <w:rPr>
          <w:sz w:val="24"/>
          <w:szCs w:val="24"/>
        </w:rPr>
        <w:t xml:space="preserve"> повышающееся и снижающееся у пациентов с</w:t>
      </w:r>
      <w:r>
        <w:rPr>
          <w:sz w:val="24"/>
          <w:szCs w:val="24"/>
        </w:rPr>
        <w:t xml:space="preserve"> параректальным свищем, осложненным</w:t>
      </w:r>
      <w:r w:rsidR="00052E52" w:rsidRPr="00052E52">
        <w:rPr>
          <w:sz w:val="24"/>
          <w:szCs w:val="24"/>
        </w:rPr>
        <w:t xml:space="preserve"> острым парапроктитом, без каких-либо коэффициентов</w:t>
      </w:r>
      <w:r>
        <w:rPr>
          <w:sz w:val="24"/>
          <w:szCs w:val="24"/>
        </w:rPr>
        <w:t xml:space="preserve"> </w:t>
      </w:r>
      <w:r w:rsidR="00052E52" w:rsidRPr="00052E52">
        <w:rPr>
          <w:sz w:val="24"/>
          <w:szCs w:val="24"/>
        </w:rPr>
        <w:t>отражает</w:t>
      </w:r>
      <w:r>
        <w:rPr>
          <w:sz w:val="24"/>
          <w:szCs w:val="24"/>
        </w:rPr>
        <w:t xml:space="preserve"> </w:t>
      </w:r>
      <w:r w:rsidR="00052E52" w:rsidRPr="00052E52">
        <w:rPr>
          <w:sz w:val="24"/>
          <w:szCs w:val="24"/>
        </w:rPr>
        <w:t>истинный</w:t>
      </w:r>
      <w:r>
        <w:rPr>
          <w:sz w:val="24"/>
          <w:szCs w:val="24"/>
        </w:rPr>
        <w:t xml:space="preserve"> </w:t>
      </w:r>
      <w:r w:rsidR="00052E52" w:rsidRPr="00052E52">
        <w:rPr>
          <w:sz w:val="24"/>
          <w:szCs w:val="24"/>
        </w:rPr>
        <w:t>количественный</w:t>
      </w:r>
      <w:r>
        <w:rPr>
          <w:sz w:val="24"/>
          <w:szCs w:val="24"/>
        </w:rPr>
        <w:t xml:space="preserve"> </w:t>
      </w:r>
      <w:r w:rsidR="00052E52" w:rsidRPr="00052E52">
        <w:rPr>
          <w:sz w:val="24"/>
          <w:szCs w:val="24"/>
        </w:rPr>
        <w:t>нейтрофильный сдвиг, который</w:t>
      </w:r>
      <w:r>
        <w:rPr>
          <w:sz w:val="24"/>
          <w:szCs w:val="24"/>
        </w:rPr>
        <w:t xml:space="preserve"> </w:t>
      </w:r>
      <w:r w:rsidR="00052E52" w:rsidRPr="00052E52">
        <w:rPr>
          <w:sz w:val="24"/>
          <w:szCs w:val="24"/>
        </w:rPr>
        <w:t>до этого определялся врачами примерно, без количественных характеристик. Несмотря на т</w:t>
      </w:r>
      <w:r>
        <w:rPr>
          <w:sz w:val="24"/>
          <w:szCs w:val="24"/>
        </w:rPr>
        <w:t>о, что статистической достовер</w:t>
      </w:r>
      <w:r w:rsidR="00052E52" w:rsidRPr="00052E52">
        <w:rPr>
          <w:sz w:val="24"/>
          <w:szCs w:val="24"/>
        </w:rPr>
        <w:t>ности снижения показателя лейкоцитарного индекса интоксикации межд</w:t>
      </w:r>
      <w:r w:rsidR="007558C9">
        <w:rPr>
          <w:sz w:val="24"/>
          <w:szCs w:val="24"/>
        </w:rPr>
        <w:t>у группами нет, но есть при по</w:t>
      </w:r>
      <w:r w:rsidR="00052E52" w:rsidRPr="00052E52">
        <w:rPr>
          <w:sz w:val="24"/>
          <w:szCs w:val="24"/>
        </w:rPr>
        <w:t>вышении показателя регенеративно-дегенеративного индекса, необхо</w:t>
      </w:r>
      <w:r w:rsidR="007558C9">
        <w:rPr>
          <w:sz w:val="24"/>
          <w:szCs w:val="24"/>
        </w:rPr>
        <w:t>димо проводить лабораторный мо</w:t>
      </w:r>
      <w:r w:rsidR="00052E52" w:rsidRPr="00052E52">
        <w:rPr>
          <w:sz w:val="24"/>
          <w:szCs w:val="24"/>
        </w:rPr>
        <w:t>ниторинг контроля лечения пациентов с острым парапроктитом для дальнейшей коррекц</w:t>
      </w:r>
      <w:r w:rsidR="007558C9">
        <w:rPr>
          <w:sz w:val="24"/>
          <w:szCs w:val="24"/>
        </w:rPr>
        <w:t>ии. Использование раздельным метод</w:t>
      </w:r>
      <w:r w:rsidR="00052E52" w:rsidRPr="00052E52">
        <w:rPr>
          <w:sz w:val="24"/>
          <w:szCs w:val="24"/>
        </w:rPr>
        <w:t>ом ультрафиолетовое облучение аутокрови в комплексном лечении пациентов с острым парапроктитом позволило значительно улучшить результаты ле</w:t>
      </w:r>
      <w:r w:rsidR="007558C9">
        <w:rPr>
          <w:sz w:val="24"/>
          <w:szCs w:val="24"/>
        </w:rPr>
        <w:t>чения, что подтверждается лабо</w:t>
      </w:r>
      <w:r w:rsidR="00052E52" w:rsidRPr="00052E52">
        <w:rPr>
          <w:sz w:val="24"/>
          <w:szCs w:val="24"/>
        </w:rPr>
        <w:t>раторным мониторингом, и это позволило сократить сроки стационарного лечения больных на 3-5 дней.</w:t>
      </w:r>
    </w:p>
    <w:p w:rsidR="00052E52" w:rsidRDefault="00052E52" w:rsidP="00367650">
      <w:pPr>
        <w:pStyle w:val="a3"/>
        <w:ind w:right="137"/>
        <w:rPr>
          <w:sz w:val="24"/>
          <w:szCs w:val="24"/>
        </w:rPr>
      </w:pPr>
    </w:p>
    <w:p w:rsidR="00367650" w:rsidRDefault="00367650" w:rsidP="00367650">
      <w:pPr>
        <w:pStyle w:val="a3"/>
        <w:ind w:right="137"/>
        <w:rPr>
          <w:sz w:val="24"/>
          <w:szCs w:val="24"/>
        </w:rPr>
      </w:pPr>
    </w:p>
    <w:p w:rsidR="00367650" w:rsidRDefault="00367650" w:rsidP="00367650">
      <w:pPr>
        <w:pStyle w:val="a3"/>
        <w:ind w:right="137"/>
        <w:rPr>
          <w:sz w:val="24"/>
          <w:szCs w:val="24"/>
        </w:rPr>
      </w:pPr>
    </w:p>
    <w:p w:rsidR="00367650" w:rsidRDefault="00367650" w:rsidP="00367650">
      <w:pPr>
        <w:pStyle w:val="a3"/>
        <w:ind w:right="137"/>
        <w:rPr>
          <w:sz w:val="24"/>
          <w:szCs w:val="24"/>
        </w:rPr>
      </w:pPr>
    </w:p>
    <w:p w:rsidR="00367650" w:rsidRDefault="00367650" w:rsidP="00367650">
      <w:pPr>
        <w:pStyle w:val="a3"/>
        <w:ind w:left="0" w:right="137"/>
        <w:rPr>
          <w:sz w:val="24"/>
          <w:szCs w:val="24"/>
        </w:rPr>
      </w:pPr>
    </w:p>
    <w:p w:rsidR="006337E8" w:rsidRDefault="006337E8" w:rsidP="00367650">
      <w:pPr>
        <w:pStyle w:val="a3"/>
        <w:ind w:left="0" w:right="137"/>
        <w:rPr>
          <w:sz w:val="24"/>
          <w:szCs w:val="24"/>
        </w:rPr>
      </w:pPr>
    </w:p>
    <w:p w:rsidR="00367650" w:rsidRPr="00052E52" w:rsidRDefault="00367650" w:rsidP="00367650">
      <w:pPr>
        <w:pStyle w:val="a3"/>
        <w:ind w:left="0" w:right="137"/>
        <w:rPr>
          <w:sz w:val="24"/>
          <w:szCs w:val="24"/>
        </w:rPr>
      </w:pPr>
    </w:p>
    <w:p w:rsidR="00052E52" w:rsidRDefault="00052E52" w:rsidP="00367650">
      <w:pPr>
        <w:pStyle w:val="a3"/>
        <w:ind w:right="137"/>
        <w:rPr>
          <w:sz w:val="24"/>
          <w:szCs w:val="24"/>
        </w:rPr>
      </w:pPr>
    </w:p>
    <w:p w:rsidR="00367650" w:rsidRDefault="00367650" w:rsidP="00367650">
      <w:pPr>
        <w:pStyle w:val="Heading1"/>
        <w:ind w:left="0"/>
        <w:rPr>
          <w:rFonts w:ascii="Times New Roman" w:hAnsi="Times New Roman"/>
          <w:spacing w:val="-2"/>
          <w:sz w:val="24"/>
          <w:szCs w:val="24"/>
        </w:rPr>
      </w:pPr>
      <w:r w:rsidRPr="00052E52">
        <w:rPr>
          <w:rFonts w:ascii="Times New Roman" w:hAnsi="Times New Roman"/>
          <w:spacing w:val="-2"/>
          <w:sz w:val="24"/>
          <w:szCs w:val="24"/>
        </w:rPr>
        <w:lastRenderedPageBreak/>
        <w:t>Литература</w:t>
      </w:r>
    </w:p>
    <w:p w:rsidR="006337E8" w:rsidRPr="00052E52" w:rsidRDefault="006337E8" w:rsidP="00367650">
      <w:pPr>
        <w:pStyle w:val="Heading1"/>
        <w:ind w:left="0"/>
        <w:rPr>
          <w:rFonts w:ascii="Times New Roman" w:hAnsi="Times New Roman"/>
          <w:sz w:val="24"/>
          <w:szCs w:val="24"/>
        </w:rPr>
      </w:pPr>
    </w:p>
    <w:p w:rsidR="00367650" w:rsidRPr="00052E52" w:rsidRDefault="00367650" w:rsidP="00367650">
      <w:pPr>
        <w:pStyle w:val="a9"/>
        <w:numPr>
          <w:ilvl w:val="0"/>
          <w:numId w:val="1"/>
        </w:numPr>
        <w:tabs>
          <w:tab w:val="left" w:pos="951"/>
        </w:tabs>
        <w:ind w:left="142" w:right="138" w:firstLine="567"/>
        <w:jc w:val="both"/>
        <w:rPr>
          <w:sz w:val="24"/>
          <w:szCs w:val="24"/>
        </w:rPr>
      </w:pPr>
      <w:r w:rsidRPr="00052E52">
        <w:rPr>
          <w:sz w:val="24"/>
          <w:szCs w:val="24"/>
        </w:rPr>
        <w:t>Лаврешин П.М., Гобеджишвили В.К., Гобеджишвили В.В., Владимирова О.В., Жабина А.В. Острый парапроктит. Лечебная тактика, хирургическое лечение // Здоровье и образование в 21 веке.2017. Т. 19, № 11. С. 65–69.</w:t>
      </w:r>
    </w:p>
    <w:p w:rsidR="00367650" w:rsidRPr="00052E52" w:rsidRDefault="00367650" w:rsidP="00367650">
      <w:pPr>
        <w:pStyle w:val="a9"/>
        <w:numPr>
          <w:ilvl w:val="0"/>
          <w:numId w:val="1"/>
        </w:numPr>
        <w:tabs>
          <w:tab w:val="left" w:pos="924"/>
        </w:tabs>
        <w:ind w:left="142" w:firstLine="567"/>
        <w:jc w:val="both"/>
        <w:rPr>
          <w:sz w:val="24"/>
          <w:szCs w:val="24"/>
        </w:rPr>
      </w:pPr>
      <w:r w:rsidRPr="00052E52">
        <w:rPr>
          <w:sz w:val="24"/>
          <w:szCs w:val="24"/>
        </w:rPr>
        <w:t>Мамедов М.М., Мустафаева М.Ф.Новые подходы в хирургич</w:t>
      </w:r>
      <w:r w:rsidR="00AA5E55">
        <w:rPr>
          <w:sz w:val="24"/>
          <w:szCs w:val="24"/>
        </w:rPr>
        <w:t>еском лечении острого парапрок</w:t>
      </w:r>
      <w:r w:rsidRPr="00052E52">
        <w:rPr>
          <w:sz w:val="24"/>
          <w:szCs w:val="24"/>
        </w:rPr>
        <w:t>тита // Клінічна хірургія. 2015. № 2. С. 20–21.</w:t>
      </w:r>
    </w:p>
    <w:p w:rsidR="00367650" w:rsidRPr="00052E52" w:rsidRDefault="00367650" w:rsidP="00367650">
      <w:pPr>
        <w:pStyle w:val="a9"/>
        <w:numPr>
          <w:ilvl w:val="0"/>
          <w:numId w:val="1"/>
        </w:numPr>
        <w:tabs>
          <w:tab w:val="left" w:pos="942"/>
        </w:tabs>
        <w:ind w:left="142" w:right="138" w:firstLine="567"/>
        <w:jc w:val="both"/>
        <w:rPr>
          <w:sz w:val="24"/>
          <w:szCs w:val="24"/>
          <w:lang w:val="en-US"/>
        </w:rPr>
      </w:pPr>
      <w:r w:rsidRPr="00052E52">
        <w:rPr>
          <w:sz w:val="24"/>
          <w:szCs w:val="24"/>
        </w:rPr>
        <w:t>Макаров С.В., Смолькина А.В., Островский В.К., Демин В.П., Барбашин С.И. Лабораторный мониторинг у пациентов с синдромом диабетической стопы// Совреме</w:t>
      </w:r>
      <w:r w:rsidR="00AA5E55">
        <w:rPr>
          <w:sz w:val="24"/>
          <w:szCs w:val="24"/>
        </w:rPr>
        <w:t>нные проблемы науки и образова</w:t>
      </w:r>
      <w:r w:rsidRPr="00052E52">
        <w:rPr>
          <w:sz w:val="24"/>
          <w:szCs w:val="24"/>
        </w:rPr>
        <w:t xml:space="preserve">ния. 2018. </w:t>
      </w:r>
      <w:r w:rsidRPr="00052E52">
        <w:rPr>
          <w:sz w:val="24"/>
          <w:szCs w:val="24"/>
          <w:lang w:val="en-US"/>
        </w:rPr>
        <w:t xml:space="preserve">№ 3. URL: </w:t>
      </w:r>
      <w:hyperlink r:id="rId7">
        <w:r w:rsidRPr="00052E52">
          <w:rPr>
            <w:sz w:val="24"/>
            <w:szCs w:val="24"/>
            <w:lang w:val="en-US"/>
          </w:rPr>
          <w:t>http://www.science-education.ru/ru/article/view?id=27662</w:t>
        </w:r>
      </w:hyperlink>
      <w:r w:rsidRPr="00052E52">
        <w:rPr>
          <w:sz w:val="24"/>
          <w:szCs w:val="24"/>
          <w:lang w:val="en-US"/>
        </w:rPr>
        <w:t xml:space="preserve"> .</w:t>
      </w:r>
    </w:p>
    <w:p w:rsidR="00367650" w:rsidRPr="00052E52" w:rsidRDefault="00367650" w:rsidP="00367650">
      <w:pPr>
        <w:pStyle w:val="a9"/>
        <w:numPr>
          <w:ilvl w:val="0"/>
          <w:numId w:val="1"/>
        </w:numPr>
        <w:tabs>
          <w:tab w:val="left" w:pos="919"/>
        </w:tabs>
        <w:ind w:left="142" w:firstLine="567"/>
        <w:jc w:val="both"/>
        <w:rPr>
          <w:sz w:val="24"/>
          <w:szCs w:val="24"/>
        </w:rPr>
      </w:pPr>
      <w:r w:rsidRPr="00052E52">
        <w:rPr>
          <w:sz w:val="24"/>
          <w:szCs w:val="24"/>
        </w:rPr>
        <w:t>Сергацкий К.И., Никольский В.И., Семилетова Я.Б., Герасимов</w:t>
      </w:r>
      <w:r w:rsidR="00AA5E55">
        <w:rPr>
          <w:sz w:val="24"/>
          <w:szCs w:val="24"/>
        </w:rPr>
        <w:t xml:space="preserve"> А.В. Диагностика и лечение па</w:t>
      </w:r>
      <w:r w:rsidRPr="00052E52">
        <w:rPr>
          <w:sz w:val="24"/>
          <w:szCs w:val="24"/>
        </w:rPr>
        <w:t>циентов с анаэробным парапроктитом // Известие высших учебных за</w:t>
      </w:r>
      <w:r w:rsidR="00AA5E55">
        <w:rPr>
          <w:sz w:val="24"/>
          <w:szCs w:val="24"/>
        </w:rPr>
        <w:t>ведений. Поволжский регион. Ме</w:t>
      </w:r>
      <w:r w:rsidRPr="00052E52">
        <w:rPr>
          <w:sz w:val="24"/>
          <w:szCs w:val="24"/>
        </w:rPr>
        <w:t>дицинские науки. 2017. №2(42). С. 82–93.</w:t>
      </w:r>
    </w:p>
    <w:p w:rsidR="00367650" w:rsidRPr="00052E52" w:rsidRDefault="00367650" w:rsidP="00367650">
      <w:pPr>
        <w:pStyle w:val="a9"/>
        <w:numPr>
          <w:ilvl w:val="0"/>
          <w:numId w:val="1"/>
        </w:numPr>
        <w:tabs>
          <w:tab w:val="left" w:pos="934"/>
        </w:tabs>
        <w:ind w:left="142" w:right="139" w:firstLine="567"/>
        <w:jc w:val="both"/>
        <w:rPr>
          <w:sz w:val="24"/>
          <w:szCs w:val="24"/>
        </w:rPr>
      </w:pPr>
      <w:r w:rsidRPr="00052E52">
        <w:rPr>
          <w:sz w:val="24"/>
          <w:szCs w:val="24"/>
        </w:rPr>
        <w:t>Филина Е.И., Савченко С.В., Краснова Е.И. Оценка ультаструктуры лимфоцитов у больных с тяжелыми</w:t>
      </w:r>
      <w:r w:rsidR="00AA5E55">
        <w:rPr>
          <w:sz w:val="24"/>
          <w:szCs w:val="24"/>
        </w:rPr>
        <w:t xml:space="preserve"> </w:t>
      </w:r>
      <w:r w:rsidRPr="00052E52">
        <w:rPr>
          <w:sz w:val="24"/>
          <w:szCs w:val="24"/>
        </w:rPr>
        <w:t>формами</w:t>
      </w:r>
      <w:r w:rsidR="00AA5E55">
        <w:rPr>
          <w:sz w:val="24"/>
          <w:szCs w:val="24"/>
        </w:rPr>
        <w:t xml:space="preserve"> </w:t>
      </w:r>
      <w:r w:rsidRPr="00052E52">
        <w:rPr>
          <w:sz w:val="24"/>
          <w:szCs w:val="24"/>
        </w:rPr>
        <w:t>рожи</w:t>
      </w:r>
      <w:r w:rsidR="00AA5E55">
        <w:rPr>
          <w:sz w:val="24"/>
          <w:szCs w:val="24"/>
        </w:rPr>
        <w:t xml:space="preserve"> </w:t>
      </w:r>
      <w:r w:rsidRPr="00052E52">
        <w:rPr>
          <w:sz w:val="24"/>
          <w:szCs w:val="24"/>
        </w:rPr>
        <w:t>при</w:t>
      </w:r>
      <w:r w:rsidR="00AA5E55">
        <w:rPr>
          <w:sz w:val="24"/>
          <w:szCs w:val="24"/>
        </w:rPr>
        <w:t xml:space="preserve"> </w:t>
      </w:r>
      <w:r w:rsidRPr="00052E52">
        <w:rPr>
          <w:sz w:val="24"/>
          <w:szCs w:val="24"/>
        </w:rPr>
        <w:t>использовании</w:t>
      </w:r>
      <w:r w:rsidR="00AA5E55">
        <w:rPr>
          <w:sz w:val="24"/>
          <w:szCs w:val="24"/>
        </w:rPr>
        <w:t xml:space="preserve"> </w:t>
      </w:r>
      <w:r w:rsidRPr="00052E52">
        <w:rPr>
          <w:sz w:val="24"/>
          <w:szCs w:val="24"/>
        </w:rPr>
        <w:t>УФО</w:t>
      </w:r>
      <w:r w:rsidR="00AA5E55">
        <w:rPr>
          <w:sz w:val="24"/>
          <w:szCs w:val="24"/>
        </w:rPr>
        <w:t xml:space="preserve"> </w:t>
      </w:r>
      <w:r w:rsidRPr="00052E52">
        <w:rPr>
          <w:sz w:val="24"/>
          <w:szCs w:val="24"/>
        </w:rPr>
        <w:t>крови</w:t>
      </w:r>
      <w:r w:rsidR="00AA5E55">
        <w:rPr>
          <w:sz w:val="24"/>
          <w:szCs w:val="24"/>
        </w:rPr>
        <w:t xml:space="preserve"> </w:t>
      </w:r>
      <w:r w:rsidRPr="00052E52">
        <w:rPr>
          <w:sz w:val="24"/>
          <w:szCs w:val="24"/>
        </w:rPr>
        <w:t>//Journal</w:t>
      </w:r>
      <w:r w:rsidR="00AA5E55">
        <w:rPr>
          <w:sz w:val="24"/>
          <w:szCs w:val="24"/>
        </w:rPr>
        <w:t xml:space="preserve"> </w:t>
      </w:r>
      <w:r w:rsidRPr="00052E52">
        <w:rPr>
          <w:sz w:val="24"/>
          <w:szCs w:val="24"/>
        </w:rPr>
        <w:t>of</w:t>
      </w:r>
      <w:r w:rsidR="00AA5E55">
        <w:rPr>
          <w:sz w:val="24"/>
          <w:szCs w:val="24"/>
        </w:rPr>
        <w:t xml:space="preserve"> </w:t>
      </w:r>
      <w:r w:rsidRPr="00052E52">
        <w:rPr>
          <w:sz w:val="24"/>
          <w:szCs w:val="24"/>
        </w:rPr>
        <w:t>Siberian</w:t>
      </w:r>
      <w:r w:rsidR="00AA5E55">
        <w:rPr>
          <w:sz w:val="24"/>
          <w:szCs w:val="24"/>
        </w:rPr>
        <w:t xml:space="preserve"> </w:t>
      </w:r>
      <w:r w:rsidRPr="00052E52">
        <w:rPr>
          <w:sz w:val="24"/>
          <w:szCs w:val="24"/>
        </w:rPr>
        <w:t>Medical</w:t>
      </w:r>
      <w:r w:rsidR="00AA5E55">
        <w:rPr>
          <w:sz w:val="24"/>
          <w:szCs w:val="24"/>
        </w:rPr>
        <w:t xml:space="preserve"> </w:t>
      </w:r>
      <w:r w:rsidRPr="00052E52">
        <w:rPr>
          <w:sz w:val="24"/>
          <w:szCs w:val="24"/>
        </w:rPr>
        <w:t>Sciences.2015.№3. С. 101–105.</w:t>
      </w:r>
    </w:p>
    <w:p w:rsidR="00367650" w:rsidRPr="00052E52" w:rsidRDefault="00367650" w:rsidP="00367650">
      <w:pPr>
        <w:pStyle w:val="a9"/>
        <w:numPr>
          <w:ilvl w:val="0"/>
          <w:numId w:val="1"/>
        </w:numPr>
        <w:tabs>
          <w:tab w:val="left" w:pos="921"/>
        </w:tabs>
        <w:ind w:left="142" w:right="139" w:firstLine="567"/>
        <w:jc w:val="both"/>
        <w:rPr>
          <w:sz w:val="24"/>
          <w:szCs w:val="24"/>
        </w:rPr>
      </w:pPr>
      <w:r w:rsidRPr="00052E52">
        <w:rPr>
          <w:sz w:val="24"/>
          <w:szCs w:val="24"/>
        </w:rPr>
        <w:t>Чистяков А.Л. Возможности лечения ран в реконструктивно-восстановительной хиру</w:t>
      </w:r>
      <w:r w:rsidR="00AA5E55">
        <w:rPr>
          <w:sz w:val="24"/>
          <w:szCs w:val="24"/>
        </w:rPr>
        <w:t>ргии лица и шеи: автореф. дис.</w:t>
      </w:r>
      <w:r w:rsidRPr="00052E52">
        <w:rPr>
          <w:sz w:val="24"/>
          <w:szCs w:val="24"/>
        </w:rPr>
        <w:t xml:space="preserve"> д.м.н. Москва, 2016. 48 с.</w:t>
      </w:r>
    </w:p>
    <w:p w:rsidR="007558C9" w:rsidRDefault="007558C9" w:rsidP="00052E52">
      <w:pPr>
        <w:pStyle w:val="a3"/>
        <w:ind w:right="137"/>
        <w:rPr>
          <w:sz w:val="24"/>
          <w:szCs w:val="24"/>
        </w:rPr>
      </w:pPr>
    </w:p>
    <w:p w:rsidR="007558C9" w:rsidRDefault="007558C9" w:rsidP="00052E52">
      <w:pPr>
        <w:pStyle w:val="a3"/>
        <w:ind w:right="137"/>
        <w:rPr>
          <w:sz w:val="24"/>
          <w:szCs w:val="24"/>
        </w:rPr>
      </w:pPr>
    </w:p>
    <w:p w:rsidR="007558C9" w:rsidRDefault="007558C9" w:rsidP="00052E52">
      <w:pPr>
        <w:pStyle w:val="a3"/>
        <w:ind w:right="137"/>
        <w:rPr>
          <w:sz w:val="24"/>
          <w:szCs w:val="24"/>
        </w:rPr>
      </w:pPr>
    </w:p>
    <w:p w:rsidR="007558C9" w:rsidRDefault="007558C9" w:rsidP="00052E52">
      <w:pPr>
        <w:pStyle w:val="a3"/>
        <w:ind w:right="137"/>
        <w:rPr>
          <w:sz w:val="24"/>
          <w:szCs w:val="24"/>
        </w:rPr>
      </w:pPr>
    </w:p>
    <w:p w:rsidR="007558C9" w:rsidRDefault="007558C9" w:rsidP="00052E52">
      <w:pPr>
        <w:pStyle w:val="a3"/>
        <w:ind w:right="137"/>
        <w:rPr>
          <w:sz w:val="24"/>
          <w:szCs w:val="24"/>
        </w:rPr>
      </w:pPr>
    </w:p>
    <w:p w:rsidR="007558C9" w:rsidRDefault="007558C9" w:rsidP="00052E52">
      <w:pPr>
        <w:pStyle w:val="a3"/>
        <w:ind w:right="137"/>
        <w:rPr>
          <w:sz w:val="24"/>
          <w:szCs w:val="24"/>
        </w:rPr>
      </w:pPr>
    </w:p>
    <w:p w:rsidR="007558C9" w:rsidRDefault="007558C9" w:rsidP="00052E52">
      <w:pPr>
        <w:pStyle w:val="a3"/>
        <w:ind w:right="137"/>
        <w:rPr>
          <w:sz w:val="24"/>
          <w:szCs w:val="24"/>
        </w:rPr>
      </w:pPr>
    </w:p>
    <w:p w:rsidR="00367650" w:rsidRDefault="00367650" w:rsidP="00AA5E55">
      <w:pPr>
        <w:pStyle w:val="a3"/>
        <w:ind w:left="0" w:right="137"/>
        <w:rPr>
          <w:sz w:val="24"/>
          <w:szCs w:val="24"/>
        </w:rPr>
      </w:pPr>
    </w:p>
    <w:p w:rsidR="00367650" w:rsidRDefault="00367650" w:rsidP="00052E52">
      <w:pPr>
        <w:pStyle w:val="a3"/>
        <w:ind w:right="137"/>
        <w:rPr>
          <w:sz w:val="24"/>
          <w:szCs w:val="24"/>
        </w:rPr>
      </w:pPr>
    </w:p>
    <w:p w:rsidR="00367650" w:rsidRDefault="00367650" w:rsidP="00052E52">
      <w:pPr>
        <w:pStyle w:val="a3"/>
        <w:ind w:right="137"/>
        <w:rPr>
          <w:sz w:val="24"/>
          <w:szCs w:val="24"/>
        </w:rPr>
      </w:pPr>
    </w:p>
    <w:p w:rsidR="007558C9" w:rsidRPr="00052E52" w:rsidRDefault="007558C9" w:rsidP="00AA5E55">
      <w:pPr>
        <w:pStyle w:val="a3"/>
        <w:ind w:left="0" w:right="137"/>
        <w:rPr>
          <w:sz w:val="24"/>
          <w:szCs w:val="24"/>
        </w:rPr>
      </w:pPr>
    </w:p>
    <w:sectPr w:rsidR="007558C9" w:rsidRPr="00052E52" w:rsidSect="00367650">
      <w:headerReference w:type="default" r:id="rId8"/>
      <w:pgSz w:w="11906" w:h="16838"/>
      <w:pgMar w:top="1276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2C5A" w:rsidRDefault="00A12C5A" w:rsidP="00052E52">
      <w:r>
        <w:separator/>
      </w:r>
    </w:p>
  </w:endnote>
  <w:endnote w:type="continuationSeparator" w:id="1">
    <w:p w:rsidR="00A12C5A" w:rsidRDefault="00A12C5A" w:rsidP="00052E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2C5A" w:rsidRDefault="00A12C5A" w:rsidP="00052E52">
      <w:r>
        <w:separator/>
      </w:r>
    </w:p>
  </w:footnote>
  <w:footnote w:type="continuationSeparator" w:id="1">
    <w:p w:rsidR="00A12C5A" w:rsidRDefault="00A12C5A" w:rsidP="00052E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C38" w:rsidRDefault="00A12C5A">
    <w:pPr>
      <w:pStyle w:val="a3"/>
      <w:spacing w:line="14" w:lineRule="auto"/>
      <w:ind w:left="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50" type="#_x0000_t202" style="position:absolute;margin-left:88.5pt;margin-top:34.75pt;width:418.3pt;height:13.2pt;z-index:-251655168;mso-position-horizontal-relative:page;mso-position-vertical-relative:page" filled="f" stroked="f">
          <v:textbox style="mso-next-textbox:#docshape2" inset="0,0,0,0">
            <w:txbxContent>
              <w:p w:rsidR="00365C38" w:rsidRDefault="00A12C5A">
                <w:pPr>
                  <w:spacing w:before="14"/>
                  <w:ind w:left="20"/>
                  <w:rPr>
                    <w:rFonts w:ascii="Arial" w:hAnsi="Arial"/>
                    <w:b/>
                    <w:sz w:val="20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16247"/>
    <w:multiLevelType w:val="hybridMultilevel"/>
    <w:tmpl w:val="5C30124A"/>
    <w:lvl w:ilvl="0" w:tplc="FCA034CC">
      <w:start w:val="1"/>
      <w:numFmt w:val="decimal"/>
      <w:lvlText w:val="%1."/>
      <w:lvlJc w:val="left"/>
      <w:pPr>
        <w:ind w:left="143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0628B08">
      <w:numFmt w:val="bullet"/>
      <w:lvlText w:val="•"/>
      <w:lvlJc w:val="left"/>
      <w:pPr>
        <w:ind w:left="1061" w:hanging="243"/>
      </w:pPr>
      <w:rPr>
        <w:rFonts w:hint="default"/>
        <w:lang w:val="ru-RU" w:eastAsia="en-US" w:bidi="ar-SA"/>
      </w:rPr>
    </w:lvl>
    <w:lvl w:ilvl="2" w:tplc="3CE48100">
      <w:numFmt w:val="bullet"/>
      <w:lvlText w:val="•"/>
      <w:lvlJc w:val="left"/>
      <w:pPr>
        <w:ind w:left="1982" w:hanging="243"/>
      </w:pPr>
      <w:rPr>
        <w:rFonts w:hint="default"/>
        <w:lang w:val="ru-RU" w:eastAsia="en-US" w:bidi="ar-SA"/>
      </w:rPr>
    </w:lvl>
    <w:lvl w:ilvl="3" w:tplc="4F22241C">
      <w:numFmt w:val="bullet"/>
      <w:lvlText w:val="•"/>
      <w:lvlJc w:val="left"/>
      <w:pPr>
        <w:ind w:left="2904" w:hanging="243"/>
      </w:pPr>
      <w:rPr>
        <w:rFonts w:hint="default"/>
        <w:lang w:val="ru-RU" w:eastAsia="en-US" w:bidi="ar-SA"/>
      </w:rPr>
    </w:lvl>
    <w:lvl w:ilvl="4" w:tplc="CBAE89AC">
      <w:numFmt w:val="bullet"/>
      <w:lvlText w:val="•"/>
      <w:lvlJc w:val="left"/>
      <w:pPr>
        <w:ind w:left="3825" w:hanging="243"/>
      </w:pPr>
      <w:rPr>
        <w:rFonts w:hint="default"/>
        <w:lang w:val="ru-RU" w:eastAsia="en-US" w:bidi="ar-SA"/>
      </w:rPr>
    </w:lvl>
    <w:lvl w:ilvl="5" w:tplc="1C9AA8AC">
      <w:numFmt w:val="bullet"/>
      <w:lvlText w:val="•"/>
      <w:lvlJc w:val="left"/>
      <w:pPr>
        <w:ind w:left="4747" w:hanging="243"/>
      </w:pPr>
      <w:rPr>
        <w:rFonts w:hint="default"/>
        <w:lang w:val="ru-RU" w:eastAsia="en-US" w:bidi="ar-SA"/>
      </w:rPr>
    </w:lvl>
    <w:lvl w:ilvl="6" w:tplc="47FCECB0">
      <w:numFmt w:val="bullet"/>
      <w:lvlText w:val="•"/>
      <w:lvlJc w:val="left"/>
      <w:pPr>
        <w:ind w:left="5668" w:hanging="243"/>
      </w:pPr>
      <w:rPr>
        <w:rFonts w:hint="default"/>
        <w:lang w:val="ru-RU" w:eastAsia="en-US" w:bidi="ar-SA"/>
      </w:rPr>
    </w:lvl>
    <w:lvl w:ilvl="7" w:tplc="C8FCE1C8">
      <w:numFmt w:val="bullet"/>
      <w:lvlText w:val="•"/>
      <w:lvlJc w:val="left"/>
      <w:pPr>
        <w:ind w:left="6590" w:hanging="243"/>
      </w:pPr>
      <w:rPr>
        <w:rFonts w:hint="default"/>
        <w:lang w:val="ru-RU" w:eastAsia="en-US" w:bidi="ar-SA"/>
      </w:rPr>
    </w:lvl>
    <w:lvl w:ilvl="8" w:tplc="69B26E1E">
      <w:numFmt w:val="bullet"/>
      <w:lvlText w:val="•"/>
      <w:lvlJc w:val="left"/>
      <w:pPr>
        <w:ind w:left="7511" w:hanging="24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52E52"/>
    <w:rsid w:val="00052E52"/>
    <w:rsid w:val="00367650"/>
    <w:rsid w:val="004018AC"/>
    <w:rsid w:val="006337E8"/>
    <w:rsid w:val="007558C9"/>
    <w:rsid w:val="008018BA"/>
    <w:rsid w:val="00A12C5A"/>
    <w:rsid w:val="00AA5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2E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52E52"/>
    <w:pPr>
      <w:ind w:left="143"/>
      <w:jc w:val="both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052E52"/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">
    <w:name w:val="Heading 1"/>
    <w:basedOn w:val="a"/>
    <w:uiPriority w:val="1"/>
    <w:qFormat/>
    <w:rsid w:val="00052E52"/>
    <w:pPr>
      <w:ind w:left="4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052E5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52E52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semiHidden/>
    <w:unhideWhenUsed/>
    <w:rsid w:val="00052E5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52E52"/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052E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  <w:rsid w:val="00052E52"/>
    <w:pPr>
      <w:ind w:left="143" w:right="137" w:firstLine="567"/>
      <w:jc w:val="both"/>
    </w:pPr>
  </w:style>
  <w:style w:type="paragraph" w:customStyle="1" w:styleId="TableParagraph">
    <w:name w:val="Table Paragraph"/>
    <w:basedOn w:val="a"/>
    <w:uiPriority w:val="1"/>
    <w:qFormat/>
    <w:rsid w:val="00052E52"/>
    <w:pPr>
      <w:ind w:left="41"/>
      <w:jc w:val="center"/>
    </w:pPr>
  </w:style>
  <w:style w:type="character" w:styleId="aa">
    <w:name w:val="Hyperlink"/>
    <w:basedOn w:val="a0"/>
    <w:uiPriority w:val="99"/>
    <w:unhideWhenUsed/>
    <w:rsid w:val="00052E5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cience-education.ru/ru/article/view?id=2766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1054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2026-03-30T13:31:00Z</dcterms:created>
  <dcterms:modified xsi:type="dcterms:W3CDTF">2026-03-30T13:31:00Z</dcterms:modified>
</cp:coreProperties>
</file>