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6F4D" w14:textId="77777777" w:rsidR="000D4E6B" w:rsidRDefault="000D4E6B" w:rsidP="000D4E6B">
      <w:pPr>
        <w:widowControl w:val="0"/>
        <w:spacing w:after="0" w:line="360" w:lineRule="auto"/>
        <w:ind w:left="709"/>
        <w:jc w:val="right"/>
        <w:rPr>
          <w:rFonts w:ascii="Times New Roman" w:eastAsia="NSimSun" w:hAnsi="Times New Roman" w:cs="Lucida Sans"/>
          <w:b/>
          <w:bCs/>
          <w:i/>
          <w:iCs/>
          <w:sz w:val="28"/>
          <w:szCs w:val="28"/>
          <w:lang w:eastAsia="zh-CN" w:bidi="hi-IN"/>
          <w14:ligatures w14:val="none"/>
        </w:rPr>
      </w:pPr>
      <w:r>
        <w:rPr>
          <w:rFonts w:ascii="Times New Roman" w:eastAsia="NSimSun" w:hAnsi="Times New Roman" w:cs="Lucida Sans"/>
          <w:b/>
          <w:bCs/>
          <w:i/>
          <w:iCs/>
          <w:sz w:val="28"/>
          <w:szCs w:val="28"/>
          <w:lang w:eastAsia="zh-CN" w:bidi="hi-IN"/>
          <w14:ligatures w14:val="none"/>
        </w:rPr>
        <w:t>Селевёрстова Алина</w:t>
      </w:r>
    </w:p>
    <w:p w14:paraId="5AC7B10A" w14:textId="77777777" w:rsidR="000D4E6B" w:rsidRDefault="000D4E6B" w:rsidP="000D4E6B">
      <w:pPr>
        <w:widowControl w:val="0"/>
        <w:spacing w:after="0" w:line="360" w:lineRule="auto"/>
        <w:ind w:left="709"/>
        <w:jc w:val="right"/>
        <w:rPr>
          <w:rFonts w:ascii="Times New Roman" w:eastAsia="NSimSun" w:hAnsi="Times New Roman" w:cs="Lucida Sans"/>
          <w:i/>
          <w:iCs/>
          <w:sz w:val="28"/>
          <w:szCs w:val="28"/>
          <w:lang w:eastAsia="zh-CN" w:bidi="hi-IN"/>
          <w14:ligatures w14:val="none"/>
        </w:rPr>
      </w:pPr>
      <w:r>
        <w:rPr>
          <w:rFonts w:ascii="Times New Roman" w:eastAsia="NSimSun" w:hAnsi="Times New Roman" w:cs="Lucida Sans"/>
          <w:i/>
          <w:iCs/>
          <w:sz w:val="28"/>
          <w:szCs w:val="28"/>
          <w:lang w:eastAsia="zh-CN" w:bidi="hi-IN"/>
          <w14:ligatures w14:val="none"/>
        </w:rPr>
        <w:t xml:space="preserve">Студенты 4 курса, группы Ю — О — 22/1, юридического факультета ФГБОУ ВО «Ульяновский государственный университет» </w:t>
      </w:r>
    </w:p>
    <w:p w14:paraId="0471A689" w14:textId="5411F2E5" w:rsidR="000D4E6B" w:rsidRDefault="000D4E6B" w:rsidP="000D4E6B">
      <w:pPr>
        <w:widowControl w:val="0"/>
        <w:spacing w:after="0" w:line="360" w:lineRule="auto"/>
        <w:ind w:left="709"/>
        <w:jc w:val="right"/>
        <w:rPr>
          <w:rFonts w:ascii="Times New Roman" w:eastAsia="NSimSun" w:hAnsi="Times New Roman" w:cs="Lucida Sans"/>
          <w:b/>
          <w:bCs/>
          <w:i/>
          <w:iCs/>
          <w:sz w:val="28"/>
          <w:szCs w:val="28"/>
          <w:lang w:eastAsia="zh-CN" w:bidi="hi-IN"/>
          <w14:ligatures w14:val="none"/>
        </w:rPr>
      </w:pPr>
      <w:r w:rsidRPr="000D4E6B">
        <w:rPr>
          <w:rFonts w:ascii="Times New Roman" w:eastAsia="NSimSun" w:hAnsi="Times New Roman" w:cs="Lucida Sans"/>
          <w:b/>
          <w:bCs/>
          <w:i/>
          <w:iCs/>
          <w:sz w:val="28"/>
          <w:szCs w:val="28"/>
          <w:lang w:eastAsia="zh-CN" w:bidi="hi-IN"/>
          <w14:ligatures w14:val="none"/>
        </w:rPr>
        <w:t xml:space="preserve">Научный руководитель: </w:t>
      </w:r>
    </w:p>
    <w:p w14:paraId="4A5C70B3" w14:textId="1D7B1223" w:rsidR="000D4E6B" w:rsidRPr="000D4E6B" w:rsidRDefault="000D4E6B" w:rsidP="000D4E6B">
      <w:pPr>
        <w:widowControl w:val="0"/>
        <w:spacing w:after="0" w:line="360" w:lineRule="auto"/>
        <w:ind w:left="709"/>
        <w:jc w:val="right"/>
        <w:rPr>
          <w:rFonts w:ascii="Times New Roman" w:eastAsia="NSimSun" w:hAnsi="Times New Roman" w:cs="Lucida Sans"/>
          <w:i/>
          <w:iCs/>
          <w:sz w:val="28"/>
          <w:szCs w:val="28"/>
          <w:lang w:eastAsia="zh-CN" w:bidi="hi-IN"/>
          <w14:ligatures w14:val="none"/>
        </w:rPr>
      </w:pPr>
      <w:r w:rsidRPr="000D4E6B">
        <w:rPr>
          <w:rFonts w:ascii="Times New Roman" w:eastAsia="NSimSun" w:hAnsi="Times New Roman" w:cs="Lucida Sans"/>
          <w:i/>
          <w:iCs/>
          <w:sz w:val="28"/>
          <w:szCs w:val="28"/>
          <w:lang w:eastAsia="zh-CN" w:bidi="hi-IN"/>
          <w14:ligatures w14:val="none"/>
        </w:rPr>
        <w:t>к. ю. н., доцент</w:t>
      </w:r>
      <w:r>
        <w:rPr>
          <w:rFonts w:ascii="Times New Roman" w:eastAsia="NSimSun" w:hAnsi="Times New Roman" w:cs="Lucida Sans"/>
          <w:i/>
          <w:iCs/>
          <w:sz w:val="28"/>
          <w:szCs w:val="28"/>
          <w:lang w:eastAsia="zh-CN" w:bidi="hi-IN"/>
          <w14:ligatures w14:val="none"/>
        </w:rPr>
        <w:t xml:space="preserve"> Боровинская Нина Анатольевна</w:t>
      </w:r>
    </w:p>
    <w:p w14:paraId="39DFC531" w14:textId="77777777" w:rsidR="000D4E6B" w:rsidRDefault="000D4E6B" w:rsidP="000D4E6B">
      <w:pPr>
        <w:widowControl w:val="0"/>
        <w:spacing w:after="0" w:line="360" w:lineRule="auto"/>
        <w:rPr>
          <w:rFonts w:ascii="Times New Roman" w:eastAsia="NSimSun" w:hAnsi="Times New Roman" w:cs="Lucida Sans"/>
          <w:sz w:val="28"/>
          <w:szCs w:val="28"/>
          <w:lang w:eastAsia="zh-CN" w:bidi="hi-IN"/>
          <w14:ligatures w14:val="none"/>
        </w:rPr>
      </w:pPr>
    </w:p>
    <w:p w14:paraId="589CCC9B" w14:textId="4F4BB66B" w:rsidR="000D4E6B" w:rsidRDefault="000D4E6B" w:rsidP="000D4E6B">
      <w:pPr>
        <w:widowControl w:val="0"/>
        <w:spacing w:after="0" w:line="360" w:lineRule="auto"/>
        <w:ind w:left="709"/>
        <w:jc w:val="center"/>
        <w:rPr>
          <w:rFonts w:ascii="Liberation Serif" w:eastAsia="NSimSun" w:hAnsi="Liberation Serif" w:cs="Lucida Sans"/>
          <w:lang w:eastAsia="zh-CN" w:bidi="hi-IN"/>
          <w14:ligatures w14:val="none"/>
        </w:rPr>
      </w:pPr>
      <w:r>
        <w:rPr>
          <w:rFonts w:ascii="Times New Roman" w:eastAsia="NSimSun" w:hAnsi="Times New Roman" w:cs="Lucida Sans"/>
          <w:b/>
          <w:bCs/>
          <w:sz w:val="28"/>
          <w:szCs w:val="28"/>
          <w:lang w:eastAsia="zh-CN" w:bidi="hi-IN"/>
          <w14:ligatures w14:val="none"/>
        </w:rPr>
        <w:t>«</w:t>
      </w:r>
      <w:r>
        <w:rPr>
          <w:rFonts w:ascii="Times New Roman" w:eastAsia="NSimSun" w:hAnsi="Times New Roman" w:cs="Lucida Sans"/>
          <w:b/>
          <w:bCs/>
          <w:sz w:val="28"/>
          <w:szCs w:val="28"/>
          <w:lang w:eastAsia="zh-CN" w:bidi="hi-IN"/>
          <w14:ligatures w14:val="none"/>
        </w:rPr>
        <w:t>ГРАЖДАНСКО – ПРАВОВОЙ МЕХАНИЗМ ЗАЩИТЫ АВТОРСКИХ ПРАВ В СЕТИ ИНТЕРНЕТ</w:t>
      </w:r>
      <w:r>
        <w:rPr>
          <w:rFonts w:ascii="Times New Roman" w:eastAsia="NSimSun" w:hAnsi="Times New Roman" w:cs="Lucida Sans"/>
          <w:b/>
          <w:bCs/>
          <w:sz w:val="28"/>
          <w:szCs w:val="28"/>
          <w:lang w:eastAsia="zh-CN" w:bidi="hi-IN"/>
          <w14:ligatures w14:val="none"/>
        </w:rPr>
        <w:t>»</w:t>
      </w:r>
    </w:p>
    <w:p w14:paraId="12622E0D" w14:textId="77777777" w:rsidR="000D4E6B" w:rsidRDefault="000D4E6B" w:rsidP="000D4E6B">
      <w:pPr>
        <w:widowControl w:val="0"/>
        <w:spacing w:after="0" w:line="360" w:lineRule="auto"/>
        <w:ind w:left="709"/>
        <w:rPr>
          <w:rFonts w:ascii="Times New Roman" w:eastAsia="NSimSun" w:hAnsi="Times New Roman" w:cs="Lucida Sans"/>
          <w:sz w:val="28"/>
          <w:szCs w:val="28"/>
          <w:lang w:eastAsia="zh-CN" w:bidi="hi-IN"/>
          <w14:ligatures w14:val="none"/>
        </w:rPr>
      </w:pPr>
    </w:p>
    <w:p w14:paraId="29B3C2E7" w14:textId="77777777" w:rsidR="000D4E6B" w:rsidRDefault="000D4E6B" w:rsidP="000D4E6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Pr>
          <w:rFonts w:ascii="Times New Roman" w:eastAsia="NSimSun" w:hAnsi="Times New Roman" w:cs="Lucida Sans"/>
          <w:b/>
          <w:bCs/>
          <w:i/>
          <w:iCs/>
          <w:sz w:val="28"/>
          <w:szCs w:val="28"/>
          <w:lang w:eastAsia="zh-CN" w:bidi="hi-IN"/>
          <w14:ligatures w14:val="none"/>
        </w:rPr>
        <w:t xml:space="preserve">Аннотация. </w:t>
      </w:r>
      <w:r w:rsidRPr="000D4E6B">
        <w:rPr>
          <w:rFonts w:ascii="Times New Roman" w:eastAsia="NSimSun" w:hAnsi="Times New Roman" w:cs="Lucida Sans"/>
          <w:sz w:val="28"/>
          <w:szCs w:val="28"/>
          <w:lang w:eastAsia="zh-CN" w:bidi="hi-IN"/>
          <w14:ligatures w14:val="none"/>
        </w:rPr>
        <w:t xml:space="preserve">Стремительное развитие цифровых технологий и глобальной сети Интернет коренным образом трансформировало способы создания, распространения и использования объектов авторского права. Цифровая среда, обеспечивая мгновенное копирование и трансграничное распространение произведений, одновременно породила беспрецедентные риски их неправомерного использования. </w:t>
      </w:r>
    </w:p>
    <w:p w14:paraId="24A9C738" w14:textId="77777777" w:rsidR="000D4E6B" w:rsidRDefault="000D4E6B" w:rsidP="000D4E6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sidRPr="000D4E6B">
        <w:rPr>
          <w:rFonts w:ascii="Times New Roman" w:eastAsia="NSimSun" w:hAnsi="Times New Roman" w:cs="Lucida Sans"/>
          <w:sz w:val="28"/>
          <w:szCs w:val="28"/>
          <w:lang w:eastAsia="zh-CN" w:bidi="hi-IN"/>
          <w14:ligatures w14:val="none"/>
        </w:rPr>
        <w:t>По данным мониторинга реестров Роскомнадзора, по состоянию на 5 февраля 2026 г. в реестрах ограниченного доступа содержалось 976 014 доменных имен, при этом их количество ежедневно увеличивается на 100–200 сайтов, а наибольшее число решений о блокировке принимается судами (более 350 тыс. доменов) и Роскомнадзором (свыше 200 тыс. доменов). Указанная статистика подтверждает массовый характер нарушений исключительных прав в онлайн-пространстве и активное использование как судебных, так и административных механизмов защиты.</w:t>
      </w:r>
      <w:r>
        <w:rPr>
          <w:rFonts w:ascii="Times New Roman" w:eastAsia="NSimSun" w:hAnsi="Times New Roman" w:cs="Lucida Sans"/>
          <w:sz w:val="28"/>
          <w:szCs w:val="28"/>
          <w:lang w:eastAsia="zh-CN" w:bidi="hi-IN"/>
          <w14:ligatures w14:val="none"/>
        </w:rPr>
        <w:t xml:space="preserve"> </w:t>
      </w:r>
      <w:r w:rsidRPr="000D4E6B">
        <w:rPr>
          <w:rFonts w:ascii="Times New Roman" w:eastAsia="NSimSun" w:hAnsi="Times New Roman" w:cs="Lucida Sans"/>
          <w:sz w:val="28"/>
          <w:szCs w:val="28"/>
          <w:lang w:eastAsia="zh-CN" w:bidi="hi-IN"/>
          <w14:ligatures w14:val="none"/>
        </w:rPr>
        <w:t xml:space="preserve">Традиционные гражданско-правовые механизмы защиты формировались применительно к офлайн-обороту и не в полной мере учитывают особенности цифровой среды: анонимность нарушителей, высокую скорость распространения контента, участие информационных посредников (хостинг-провайдеров, маркетплейсов, агрегаторов контента) и трансграничный характер интернет-коммуникаций. Несмотря на активное развитие законодательства (часть четвертая ГК РФ, Федеральный закон № 149-ФЗ) и судебной практики (разъяснения Верховного </w:t>
      </w:r>
      <w:r w:rsidRPr="000D4E6B">
        <w:rPr>
          <w:rFonts w:ascii="Times New Roman" w:eastAsia="NSimSun" w:hAnsi="Times New Roman" w:cs="Lucida Sans"/>
          <w:sz w:val="28"/>
          <w:szCs w:val="28"/>
          <w:lang w:eastAsia="zh-CN" w:bidi="hi-IN"/>
          <w14:ligatures w14:val="none"/>
        </w:rPr>
        <w:lastRenderedPageBreak/>
        <w:t xml:space="preserve">Суда РФ, акты Суда по интеллектуальным правам), многие вопросы остаются дискуссионными. </w:t>
      </w:r>
    </w:p>
    <w:p w14:paraId="65ABCFE3" w14:textId="77777777" w:rsidR="000D4E6B" w:rsidRDefault="000D4E6B" w:rsidP="000D4E6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sidRPr="000D4E6B">
        <w:rPr>
          <w:rFonts w:ascii="Times New Roman" w:eastAsia="NSimSun" w:hAnsi="Times New Roman" w:cs="Lucida Sans"/>
          <w:sz w:val="28"/>
          <w:szCs w:val="28"/>
          <w:lang w:eastAsia="zh-CN" w:bidi="hi-IN"/>
          <w14:ligatures w14:val="none"/>
        </w:rPr>
        <w:t>В юридической науке исследуются отдельные аспекты — ответственность посредников, блокировка сайтов, взыскание компенсации, — однако комплексное рассмотрение гражданско-правового механизма защиты авторских прав и исполнения судебных решений по данной категории споров представлено недостаточно широко.</w:t>
      </w:r>
      <w:r>
        <w:rPr>
          <w:rFonts w:ascii="Times New Roman" w:eastAsia="NSimSun" w:hAnsi="Times New Roman" w:cs="Lucida Sans"/>
          <w:sz w:val="28"/>
          <w:szCs w:val="28"/>
          <w:lang w:eastAsia="zh-CN" w:bidi="hi-IN"/>
          <w14:ligatures w14:val="none"/>
        </w:rPr>
        <w:t xml:space="preserve"> </w:t>
      </w:r>
      <w:r w:rsidRPr="000D4E6B">
        <w:rPr>
          <w:rFonts w:ascii="Times New Roman" w:eastAsia="NSimSun" w:hAnsi="Times New Roman" w:cs="Lucida Sans"/>
          <w:sz w:val="28"/>
          <w:szCs w:val="28"/>
          <w:lang w:eastAsia="zh-CN" w:bidi="hi-IN"/>
          <w14:ligatures w14:val="none"/>
        </w:rPr>
        <w:t>Выявленные проблемы правоприменения: отсутствие четких критериев допустимости и верификации цифровых доказательств (скриншотов, нотариальных протоколов осмотра интернет-страниц, лог-файлов) порождает неоднородность судебной практики; правовой статус маркетплейсов и цифровых платформ как информационных посредников недостаточно урегулирован (нормы ст. 1253.1 ГК РФ не учитывают их активное участие в коммерциализации контента); отсутствие специальных процедур исполнения судебных решений об удалении контента и блокировке зеркал снижает фактическую результативность защиты; недостаточная детализация досудебного претензионного порядка в цифровой среде затрудняет оперативное пресечение нарушений. Указанные обстоятельства обусловливают актуальность темы и необходимость совершенствования нормативного регулирования, а также выработки единых правоприменительных подходов, обеспечивающих баланс между охраной исключительных прав правообладателей и принципом свободного доступа к информации в цифровом пространстве.</w:t>
      </w:r>
    </w:p>
    <w:p w14:paraId="5D1ED3C5" w14:textId="4A421EFE" w:rsidR="000D4E6B" w:rsidRDefault="000D4E6B" w:rsidP="000D4E6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sidRPr="008D06FF">
        <w:rPr>
          <w:rFonts w:ascii="Times New Roman" w:eastAsia="NSimSun" w:hAnsi="Times New Roman" w:cs="Lucida Sans"/>
          <w:b/>
          <w:bCs/>
          <w:i/>
          <w:iCs/>
          <w:sz w:val="28"/>
          <w:szCs w:val="28"/>
          <w:lang w:eastAsia="zh-CN" w:bidi="hi-IN"/>
          <w14:ligatures w14:val="none"/>
        </w:rPr>
        <w:t>Материалы и методы.</w:t>
      </w:r>
      <w:r w:rsidRPr="008D06FF">
        <w:rPr>
          <w:rFonts w:ascii="Times New Roman" w:eastAsia="NSimSun" w:hAnsi="Times New Roman" w:cs="Lucida Sans"/>
          <w:sz w:val="28"/>
          <w:szCs w:val="28"/>
          <w:lang w:eastAsia="zh-CN" w:bidi="hi-IN"/>
          <w14:ligatures w14:val="none"/>
        </w:rPr>
        <w:t xml:space="preserve"> Методологическую основу составили общенаучные методы (диалектический, анализ, синтез, системно-структурный) и специально-юридические методы (формально-юридический, сравнительно-правовой, метод толкования правовых норм).</w:t>
      </w:r>
    </w:p>
    <w:p w14:paraId="57AB8AD3" w14:textId="1451B2E0" w:rsidR="000D4E6B" w:rsidRPr="000D4E6B" w:rsidRDefault="000D4E6B" w:rsidP="000D4E6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sidRPr="008D06FF">
        <w:rPr>
          <w:rFonts w:ascii="Times New Roman" w:eastAsia="NSimSun" w:hAnsi="Times New Roman" w:cs="Lucida Sans"/>
          <w:b/>
          <w:bCs/>
          <w:i/>
          <w:iCs/>
          <w:sz w:val="28"/>
          <w:szCs w:val="28"/>
          <w:lang w:eastAsia="zh-CN" w:bidi="hi-IN"/>
          <w14:ligatures w14:val="none"/>
        </w:rPr>
        <w:t>Ключевые слова:</w:t>
      </w:r>
      <w:r w:rsidRPr="008D06FF">
        <w:rPr>
          <w:rFonts w:ascii="Times New Roman" w:eastAsia="NSimSun" w:hAnsi="Times New Roman" w:cs="Lucida Sans"/>
          <w:sz w:val="28"/>
          <w:szCs w:val="28"/>
          <w:lang w:eastAsia="zh-CN" w:bidi="hi-IN"/>
          <w14:ligatures w14:val="none"/>
        </w:rPr>
        <w:t xml:space="preserve"> </w:t>
      </w:r>
      <w:r w:rsidRPr="000D4E6B">
        <w:rPr>
          <w:rFonts w:ascii="Times New Roman" w:eastAsia="NSimSun" w:hAnsi="Times New Roman" w:cs="Lucida Sans"/>
          <w:sz w:val="28"/>
          <w:szCs w:val="28"/>
          <w:lang w:eastAsia="zh-CN" w:bidi="hi-IN"/>
          <w14:ligatures w14:val="none"/>
        </w:rPr>
        <w:t xml:space="preserve">гражданско-правовой механизм защиты авторских прав, сеть Интернет, цифровая среда, информационные посредники, маркетплейсы, цифровые доказательства, договор об отчуждении исключительного права, лицензионный договор, Суд по интеллектуальным </w:t>
      </w:r>
      <w:r w:rsidRPr="000D4E6B">
        <w:rPr>
          <w:rFonts w:ascii="Times New Roman" w:eastAsia="NSimSun" w:hAnsi="Times New Roman" w:cs="Lucida Sans"/>
          <w:sz w:val="28"/>
          <w:szCs w:val="28"/>
          <w:lang w:eastAsia="zh-CN" w:bidi="hi-IN"/>
          <w14:ligatures w14:val="none"/>
        </w:rPr>
        <w:lastRenderedPageBreak/>
        <w:t>правам, досудебный порядок, обеспечительные меры, исполнение судебных решений, компенсация за нарушение авторских прав, блокировка контента.</w:t>
      </w:r>
    </w:p>
    <w:p w14:paraId="53B5B729" w14:textId="77777777" w:rsidR="000D4E6B" w:rsidRDefault="000D4E6B" w:rsidP="000D4E6B">
      <w:pPr>
        <w:widowControl w:val="0"/>
        <w:spacing w:after="0" w:line="360" w:lineRule="auto"/>
        <w:ind w:firstLine="709"/>
        <w:jc w:val="both"/>
        <w:rPr>
          <w:rFonts w:ascii="Times New Roman" w:eastAsia="NSimSun" w:hAnsi="Times New Roman" w:cs="Lucida Sans"/>
          <w:sz w:val="28"/>
          <w:szCs w:val="28"/>
          <w:lang w:eastAsia="zh-CN" w:bidi="hi-IN"/>
          <w14:ligatures w14:val="none"/>
        </w:rPr>
      </w:pPr>
      <w:r w:rsidRPr="000D4E6B">
        <w:rPr>
          <w:rFonts w:ascii="Times New Roman" w:eastAsia="NSimSun" w:hAnsi="Times New Roman" w:cs="Lucida Sans"/>
          <w:b/>
          <w:bCs/>
          <w:sz w:val="28"/>
          <w:szCs w:val="28"/>
          <w:lang w:val="en-US" w:eastAsia="zh-CN" w:bidi="hi-IN"/>
          <w14:ligatures w14:val="none"/>
        </w:rPr>
        <w:t>Abstract.</w:t>
      </w:r>
      <w:r w:rsidRPr="000D4E6B">
        <w:rPr>
          <w:rFonts w:ascii="Times New Roman" w:eastAsia="NSimSun" w:hAnsi="Times New Roman" w:cs="Lucida Sans"/>
          <w:sz w:val="28"/>
          <w:szCs w:val="28"/>
          <w:lang w:val="en-US" w:eastAsia="zh-CN" w:bidi="hi-IN"/>
          <w14:ligatures w14:val="none"/>
        </w:rPr>
        <w:t xml:space="preserve"> The rapid development of digital technologies and the global internet has fundamentally transformed the ways in which copyrighted works are created, distributed, and used. The digital environment, while enabling instant copying and cross-border distribution of works, has also given rise to unprecedented risks of their unauthorized use. According to Roskomnadzor's registry monitoring, as of February 5, 2026, 976,014 domain names were listed in restricted access registries, with their number increasing by 100-200 sites daily. The majority of blocking decisions are made by courts (over 350,000 domains) and Roskomnadzor (over 200,000 domains). These statistics confirm the widespread nature of infringements of exclusive rights online and the active use of both judicial and administrative protection mechanisms. Traditional civil protection mechanisms were developed for offline use and do not fully account for the specifics of the digital environment: the anonymity of infringers, the high speed of content distribution, the involvement of information intermediaries (hosting providers, marketplaces, content aggregators), and the cross-border nature of internet communications. Despite the active development of legislation (Part Four of the Civil Code of the Russian Federation, Federal Law No. 149-FZ) and judicial practice (clarifications of the Supreme Court of the Russian Federation, decisions of the Intellectual Property Court), many issues remain controversial. Legal scholarship examines specific aspects—intermediary liability, website blocking, and compensation collection—but a comprehensive examination of the civil law mechanism for copyright protection and the enforcement of court decisions in this category of disputes remains underrepresented. Identified enforcement issues: the lack of clear criteria for the admissibility and verification of digital evidence (screenshots, notarized protocols for web page inspections, log files) leads to heterogeneity in judicial practice; the legal status of marketplaces and digital platforms as information intermediaries is insufficiently regulated (Article 1253.1 of the Civil Code of the Russian Federation does not take into account their active participation in the </w:t>
      </w:r>
      <w:r w:rsidRPr="000D4E6B">
        <w:rPr>
          <w:rFonts w:ascii="Times New Roman" w:eastAsia="NSimSun" w:hAnsi="Times New Roman" w:cs="Lucida Sans"/>
          <w:sz w:val="28"/>
          <w:szCs w:val="28"/>
          <w:lang w:val="en-US" w:eastAsia="zh-CN" w:bidi="hi-IN"/>
          <w14:ligatures w14:val="none"/>
        </w:rPr>
        <w:lastRenderedPageBreak/>
        <w:t xml:space="preserve">commercialization of content); the lack of special procedures for enforcing court decisions to remove content and block mirrors reduces the actual effectiveness of protection; and the insufficient detail of the pre-trial claims procedure in the digital environment hinders the prompt prevention of violations. These circumstances determine the relevance of the topic and the need to improve regulatory frameworks, as well as to develop uniform law enforcement approaches that ensure a balance between the protection of the exclusive rights of copyright holders and the principle of free access to information in the digital space. </w:t>
      </w:r>
    </w:p>
    <w:p w14:paraId="50C2DEB5" w14:textId="7D408C2A" w:rsidR="000D4E6B" w:rsidRPr="000D4E6B" w:rsidRDefault="000D4E6B" w:rsidP="000D4E6B">
      <w:pPr>
        <w:widowControl w:val="0"/>
        <w:spacing w:after="0" w:line="360" w:lineRule="auto"/>
        <w:ind w:firstLine="709"/>
        <w:jc w:val="both"/>
        <w:rPr>
          <w:rFonts w:ascii="Times New Roman" w:eastAsia="NSimSun" w:hAnsi="Times New Roman" w:cs="Lucida Sans"/>
          <w:sz w:val="28"/>
          <w:szCs w:val="28"/>
          <w:lang w:val="en-US" w:eastAsia="zh-CN" w:bidi="hi-IN"/>
          <w14:ligatures w14:val="none"/>
        </w:rPr>
      </w:pPr>
      <w:r w:rsidRPr="000D4E6B">
        <w:rPr>
          <w:rFonts w:ascii="Times New Roman" w:eastAsia="NSimSun" w:hAnsi="Times New Roman" w:cs="Lucida Sans"/>
          <w:b/>
          <w:bCs/>
          <w:sz w:val="28"/>
          <w:szCs w:val="28"/>
          <w:lang w:val="en-US" w:eastAsia="zh-CN" w:bidi="hi-IN"/>
          <w14:ligatures w14:val="none"/>
        </w:rPr>
        <w:t>Materials and Methods</w:t>
      </w:r>
      <w:r>
        <w:rPr>
          <w:rFonts w:ascii="Times New Roman" w:eastAsia="NSimSun" w:hAnsi="Times New Roman" w:cs="Lucida Sans"/>
          <w:sz w:val="28"/>
          <w:szCs w:val="28"/>
          <w:lang w:eastAsia="zh-CN" w:bidi="hi-IN"/>
          <w14:ligatures w14:val="none"/>
        </w:rPr>
        <w:t>.</w:t>
      </w:r>
      <w:r w:rsidRPr="000D4E6B">
        <w:rPr>
          <w:rFonts w:ascii="Times New Roman" w:eastAsia="NSimSun" w:hAnsi="Times New Roman" w:cs="Lucida Sans"/>
          <w:sz w:val="28"/>
          <w:szCs w:val="28"/>
          <w:lang w:val="en-US" w:eastAsia="zh-CN" w:bidi="hi-IN"/>
          <w14:ligatures w14:val="none"/>
        </w:rPr>
        <w:t xml:space="preserve"> The methodological basis was formed by general scientific methods (dialectical, analysis, synthesis, system-structural) and specific legal methods (formal legal, comparative legal, and the method of interpreting legal norms). </w:t>
      </w:r>
    </w:p>
    <w:p w14:paraId="6AF9B4DD" w14:textId="7F934B76" w:rsidR="000D4E6B" w:rsidRPr="000D4E6B" w:rsidRDefault="000D4E6B" w:rsidP="000D4E6B">
      <w:pPr>
        <w:widowControl w:val="0"/>
        <w:spacing w:after="0" w:line="360" w:lineRule="auto"/>
        <w:ind w:firstLine="709"/>
        <w:jc w:val="both"/>
        <w:rPr>
          <w:rFonts w:ascii="Times New Roman" w:eastAsia="NSimSun" w:hAnsi="Times New Roman" w:cs="Lucida Sans"/>
          <w:sz w:val="28"/>
          <w:szCs w:val="28"/>
          <w:lang w:val="en-US" w:eastAsia="zh-CN" w:bidi="hi-IN"/>
          <w14:ligatures w14:val="none"/>
        </w:rPr>
      </w:pPr>
      <w:r w:rsidRPr="000D4E6B">
        <w:rPr>
          <w:rFonts w:ascii="Times New Roman" w:eastAsia="NSimSun" w:hAnsi="Times New Roman" w:cs="Lucida Sans"/>
          <w:b/>
          <w:bCs/>
          <w:sz w:val="28"/>
          <w:szCs w:val="28"/>
          <w:lang w:val="en-US" w:eastAsia="zh-CN" w:bidi="hi-IN"/>
          <w14:ligatures w14:val="none"/>
        </w:rPr>
        <w:t>Keywords:</w:t>
      </w:r>
      <w:r w:rsidRPr="000D4E6B">
        <w:rPr>
          <w:rFonts w:ascii="Times New Roman" w:eastAsia="NSimSun" w:hAnsi="Times New Roman" w:cs="Lucida Sans"/>
          <w:sz w:val="28"/>
          <w:szCs w:val="28"/>
          <w:lang w:val="en-US" w:eastAsia="zh-CN" w:bidi="hi-IN"/>
          <w14:ligatures w14:val="none"/>
        </w:rPr>
        <w:t xml:space="preserve"> civil law mechanism for copyright protection, internet, digital environment, information intermediaries, marketplaces, digital evidence, exclusive right assignment agreement, license agreement, Intellectual Property Court, pre-trial procedure, injunctive relief, enforcement of court decisions, compensation for copyright infringement, content blocking.</w:t>
      </w:r>
    </w:p>
    <w:p w14:paraId="659C2590" w14:textId="77777777" w:rsidR="0058676E" w:rsidRPr="000D4E6B" w:rsidRDefault="0058676E">
      <w:pPr>
        <w:rPr>
          <w:lang w:val="en-US"/>
        </w:rPr>
      </w:pPr>
    </w:p>
    <w:sectPr w:rsidR="0058676E" w:rsidRPr="000D4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53"/>
    <w:rsid w:val="000D4E6B"/>
    <w:rsid w:val="0058676E"/>
    <w:rsid w:val="00594053"/>
    <w:rsid w:val="005A579E"/>
    <w:rsid w:val="008B2240"/>
    <w:rsid w:val="00920B26"/>
    <w:rsid w:val="00B40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AEA3"/>
  <w15:chartTrackingRefBased/>
  <w15:docId w15:val="{AC7AE70C-3F15-4B50-9D52-90F915F7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E6B"/>
    <w:pPr>
      <w:suppressAutoHyphens/>
      <w:spacing w:line="278" w:lineRule="auto"/>
    </w:pPr>
    <w:rPr>
      <w:rFonts w:eastAsiaTheme="minorEastAsia"/>
      <w:sz w:val="24"/>
      <w:szCs w:val="24"/>
      <w:lang w:eastAsia="ru-RU"/>
    </w:rPr>
  </w:style>
  <w:style w:type="paragraph" w:styleId="1">
    <w:name w:val="heading 1"/>
    <w:basedOn w:val="a"/>
    <w:next w:val="a"/>
    <w:link w:val="10"/>
    <w:uiPriority w:val="9"/>
    <w:qFormat/>
    <w:rsid w:val="00594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4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40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40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40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40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0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0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0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0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40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40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40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40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40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053"/>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0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053"/>
    <w:rPr>
      <w:rFonts w:eastAsiaTheme="majorEastAsia" w:cstheme="majorBidi"/>
      <w:color w:val="272727" w:themeColor="text1" w:themeTint="D8"/>
    </w:rPr>
  </w:style>
  <w:style w:type="paragraph" w:styleId="a3">
    <w:name w:val="Title"/>
    <w:basedOn w:val="a"/>
    <w:next w:val="a"/>
    <w:link w:val="a4"/>
    <w:uiPriority w:val="10"/>
    <w:qFormat/>
    <w:rsid w:val="00594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0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0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053"/>
    <w:pPr>
      <w:spacing w:before="160"/>
      <w:jc w:val="center"/>
    </w:pPr>
    <w:rPr>
      <w:i/>
      <w:iCs/>
      <w:color w:val="404040" w:themeColor="text1" w:themeTint="BF"/>
    </w:rPr>
  </w:style>
  <w:style w:type="character" w:customStyle="1" w:styleId="22">
    <w:name w:val="Цитата 2 Знак"/>
    <w:basedOn w:val="a0"/>
    <w:link w:val="21"/>
    <w:uiPriority w:val="29"/>
    <w:rsid w:val="00594053"/>
    <w:rPr>
      <w:i/>
      <w:iCs/>
      <w:color w:val="404040" w:themeColor="text1" w:themeTint="BF"/>
    </w:rPr>
  </w:style>
  <w:style w:type="paragraph" w:styleId="a7">
    <w:name w:val="List Paragraph"/>
    <w:basedOn w:val="a"/>
    <w:uiPriority w:val="34"/>
    <w:qFormat/>
    <w:rsid w:val="00594053"/>
    <w:pPr>
      <w:ind w:left="720"/>
      <w:contextualSpacing/>
    </w:pPr>
  </w:style>
  <w:style w:type="character" w:styleId="a8">
    <w:name w:val="Intense Emphasis"/>
    <w:basedOn w:val="a0"/>
    <w:uiPriority w:val="21"/>
    <w:qFormat/>
    <w:rsid w:val="00594053"/>
    <w:rPr>
      <w:i/>
      <w:iCs/>
      <w:color w:val="2F5496" w:themeColor="accent1" w:themeShade="BF"/>
    </w:rPr>
  </w:style>
  <w:style w:type="paragraph" w:styleId="a9">
    <w:name w:val="Intense Quote"/>
    <w:basedOn w:val="a"/>
    <w:next w:val="a"/>
    <w:link w:val="aa"/>
    <w:uiPriority w:val="30"/>
    <w:qFormat/>
    <w:rsid w:val="00594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4053"/>
    <w:rPr>
      <w:i/>
      <w:iCs/>
      <w:color w:val="2F5496" w:themeColor="accent1" w:themeShade="BF"/>
    </w:rPr>
  </w:style>
  <w:style w:type="character" w:styleId="ab">
    <w:name w:val="Intense Reference"/>
    <w:basedOn w:val="a0"/>
    <w:uiPriority w:val="32"/>
    <w:qFormat/>
    <w:rsid w:val="00594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Селевёрстова</dc:creator>
  <cp:keywords/>
  <dc:description/>
  <cp:lastModifiedBy>Алина Селевёрстова</cp:lastModifiedBy>
  <cp:revision>3</cp:revision>
  <dcterms:created xsi:type="dcterms:W3CDTF">2026-04-05T19:14:00Z</dcterms:created>
  <dcterms:modified xsi:type="dcterms:W3CDTF">2026-04-05T19:22:00Z</dcterms:modified>
</cp:coreProperties>
</file>