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5EF4" w14:textId="77777777" w:rsidR="00576C67" w:rsidRDefault="00636950" w:rsidP="00810C82">
      <w:pPr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576C67">
        <w:rPr>
          <w:rFonts w:ascii="Times New Roman" w:hAnsi="Times New Roman" w:cs="Times New Roman"/>
          <w:kern w:val="28"/>
        </w:rPr>
        <w:t xml:space="preserve">Влияние генно-инженерной биологической терапии на патогенный потенциал </w:t>
      </w:r>
    </w:p>
    <w:p w14:paraId="79E8D7AA" w14:textId="0CF63FE8" w:rsidR="00636950" w:rsidRPr="00576C67" w:rsidRDefault="00636950" w:rsidP="00810C82">
      <w:pPr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576C67">
        <w:rPr>
          <w:rFonts w:ascii="Times New Roman" w:hAnsi="Times New Roman" w:cs="Times New Roman"/>
          <w:kern w:val="28"/>
        </w:rPr>
        <w:t>микробиоты урогенитального тракта пациенток с псориазом</w:t>
      </w:r>
    </w:p>
    <w:p w14:paraId="0FDB098F" w14:textId="025F9CFD" w:rsidR="0089712A" w:rsidRDefault="0089712A" w:rsidP="00810C82">
      <w:pPr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576C67">
        <w:rPr>
          <w:rFonts w:ascii="Times New Roman" w:hAnsi="Times New Roman" w:cs="Times New Roman"/>
          <w:kern w:val="28"/>
        </w:rPr>
        <w:t>Павлова Анастасия Олеговна, Младшева Мария Сергеевна</w:t>
      </w:r>
    </w:p>
    <w:p w14:paraId="0BB03313" w14:textId="18ADC648" w:rsidR="00576C67" w:rsidRPr="00576C67" w:rsidRDefault="00576C67" w:rsidP="00810C82">
      <w:pPr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Студент</w:t>
      </w:r>
      <w:r w:rsidR="00E37354">
        <w:rPr>
          <w:rFonts w:ascii="Times New Roman" w:hAnsi="Times New Roman" w:cs="Times New Roman"/>
          <w:kern w:val="28"/>
        </w:rPr>
        <w:t>,</w:t>
      </w:r>
      <w:r>
        <w:rPr>
          <w:rFonts w:ascii="Times New Roman" w:hAnsi="Times New Roman" w:cs="Times New Roman"/>
          <w:kern w:val="28"/>
        </w:rPr>
        <w:t xml:space="preserve"> Студент</w:t>
      </w:r>
    </w:p>
    <w:p w14:paraId="6B178024" w14:textId="7F9BC98E" w:rsidR="00576C67" w:rsidRDefault="0089712A" w:rsidP="0089712A">
      <w:pPr>
        <w:spacing w:after="0" w:line="240" w:lineRule="auto"/>
        <w:jc w:val="center"/>
        <w:rPr>
          <w:rFonts w:ascii="Times New Roman" w:hAnsi="Times New Roman"/>
          <w:kern w:val="28"/>
        </w:rPr>
      </w:pPr>
      <w:r w:rsidRPr="00576C67">
        <w:rPr>
          <w:rFonts w:ascii="Times New Roman" w:hAnsi="Times New Roman"/>
          <w:bCs/>
          <w:kern w:val="28"/>
        </w:rPr>
        <w:t>Нестеров Алексей Сергеевич</w:t>
      </w:r>
    </w:p>
    <w:p w14:paraId="23514575" w14:textId="77777777" w:rsidR="00576C67" w:rsidRDefault="00576C67" w:rsidP="0089712A">
      <w:pPr>
        <w:spacing w:after="0"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Научный руководитель, профессор, </w:t>
      </w:r>
      <w:r w:rsidR="0089712A" w:rsidRPr="0089712A">
        <w:rPr>
          <w:rFonts w:ascii="Times New Roman" w:hAnsi="Times New Roman"/>
          <w:szCs w:val="22"/>
        </w:rPr>
        <w:t>д.м.н.</w:t>
      </w:r>
    </w:p>
    <w:p w14:paraId="3DB9BC66" w14:textId="46D48995" w:rsidR="0089712A" w:rsidRPr="0051123A" w:rsidRDefault="00576C67" w:rsidP="00576C67">
      <w:pPr>
        <w:spacing w:after="0"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Медицинский факультет</w:t>
      </w:r>
    </w:p>
    <w:p w14:paraId="5BA37666" w14:textId="77777777" w:rsidR="007A12B6" w:rsidRPr="00291716" w:rsidRDefault="007A12B6" w:rsidP="00301360">
      <w:pPr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14:paraId="4B16E568" w14:textId="0495C52D" w:rsidR="00AC1627" w:rsidRPr="00AC1627" w:rsidRDefault="00291716" w:rsidP="00AC1627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AC1627">
        <w:rPr>
          <w:rFonts w:ascii="Times New Roman" w:hAnsi="Times New Roman" w:cs="Times New Roman"/>
          <w:kern w:val="28"/>
        </w:rPr>
        <w:t>Ключевые слова:</w:t>
      </w:r>
      <w:r w:rsidR="00AC1627" w:rsidRPr="00AC1627">
        <w:rPr>
          <w:rFonts w:ascii="Times New Roman" w:hAnsi="Times New Roman" w:cs="Times New Roman"/>
          <w:kern w:val="28"/>
        </w:rPr>
        <w:t xml:space="preserve"> </w:t>
      </w:r>
      <w:r w:rsidR="00462370" w:rsidRPr="00AC1627">
        <w:rPr>
          <w:rFonts w:ascii="Times New Roman" w:hAnsi="Times New Roman"/>
        </w:rPr>
        <w:t xml:space="preserve">псориаз, </w:t>
      </w:r>
      <w:r w:rsidR="00AC1627" w:rsidRPr="00AC1627">
        <w:rPr>
          <w:rFonts w:ascii="Times New Roman" w:hAnsi="Times New Roman"/>
        </w:rPr>
        <w:t>таргетная терапия, микробиота, факторы патогенности</w:t>
      </w:r>
    </w:p>
    <w:p w14:paraId="5018C64E" w14:textId="77777777" w:rsidR="00291716" w:rsidRPr="00AC1627" w:rsidRDefault="00291716" w:rsidP="00301360">
      <w:pPr>
        <w:spacing w:after="0" w:line="240" w:lineRule="auto"/>
        <w:jc w:val="both"/>
        <w:rPr>
          <w:rFonts w:ascii="Times New Roman" w:hAnsi="Times New Roman" w:cs="Times New Roman"/>
          <w:kern w:val="28"/>
        </w:rPr>
      </w:pPr>
    </w:p>
    <w:p w14:paraId="74A6976E" w14:textId="77777777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 xml:space="preserve">Псориаз представляет собой хронический дерматоз мультифакториальной природы, в </w:t>
      </w:r>
      <w:proofErr w:type="spellStart"/>
      <w:r w:rsidRPr="0089712A">
        <w:rPr>
          <w:rFonts w:ascii="Times New Roman" w:hAnsi="Times New Roman" w:cs="Times New Roman"/>
          <w:kern w:val="28"/>
        </w:rPr>
        <w:t>этиопатогенезе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которого ведущая роль отводится генетической предрасположенности. Заболевание характеризуется избыточной пролиферацией кератиноцитов, нарушением процессов их дифференцировки, а также дисбалансом в системе про- и противовоспалительных цитокинов, нередко сопровождаясь патологическими изменениями со стороны опорно-двигательного аппарата [3].</w:t>
      </w:r>
    </w:p>
    <w:p w14:paraId="360C4EC6" w14:textId="708BF72F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 xml:space="preserve">Современные достижения в изучении иммунологических аспектов псориаза обусловили разработку и внедрение в клиническую практику инновационных </w:t>
      </w:r>
      <w:r w:rsidR="001C51F8">
        <w:rPr>
          <w:rFonts w:ascii="Times New Roman" w:hAnsi="Times New Roman" w:cs="Times New Roman"/>
          <w:kern w:val="28"/>
        </w:rPr>
        <w:t xml:space="preserve">генно-инженерных </w:t>
      </w:r>
      <w:r w:rsidRPr="0089712A">
        <w:rPr>
          <w:rFonts w:ascii="Times New Roman" w:hAnsi="Times New Roman" w:cs="Times New Roman"/>
          <w:kern w:val="28"/>
        </w:rPr>
        <w:t>биологических препаратов</w:t>
      </w:r>
      <w:r w:rsidR="007B7949">
        <w:rPr>
          <w:rFonts w:ascii="Times New Roman" w:hAnsi="Times New Roman" w:cs="Times New Roman"/>
          <w:kern w:val="28"/>
        </w:rPr>
        <w:t xml:space="preserve"> (таргетная терапия)</w:t>
      </w:r>
      <w:r w:rsidRPr="0089712A">
        <w:rPr>
          <w:rFonts w:ascii="Times New Roman" w:hAnsi="Times New Roman" w:cs="Times New Roman"/>
          <w:kern w:val="28"/>
        </w:rPr>
        <w:t xml:space="preserve">. Однако их действие, основанное на </w:t>
      </w:r>
      <w:r w:rsidR="007B7949">
        <w:rPr>
          <w:rFonts w:ascii="Times New Roman" w:hAnsi="Times New Roman" w:cs="Times New Roman"/>
          <w:kern w:val="28"/>
        </w:rPr>
        <w:t xml:space="preserve">селективном </w:t>
      </w:r>
      <w:proofErr w:type="spellStart"/>
      <w:r w:rsidRPr="0089712A">
        <w:rPr>
          <w:rFonts w:ascii="Times New Roman" w:hAnsi="Times New Roman" w:cs="Times New Roman"/>
          <w:kern w:val="28"/>
        </w:rPr>
        <w:t>иммуносупресс</w:t>
      </w:r>
      <w:r w:rsidR="007B7949">
        <w:rPr>
          <w:rFonts w:ascii="Times New Roman" w:hAnsi="Times New Roman" w:cs="Times New Roman"/>
          <w:kern w:val="28"/>
        </w:rPr>
        <w:t>орном</w:t>
      </w:r>
      <w:proofErr w:type="spellEnd"/>
      <w:r w:rsidR="007B7949">
        <w:rPr>
          <w:rFonts w:ascii="Times New Roman" w:hAnsi="Times New Roman" w:cs="Times New Roman"/>
          <w:kern w:val="28"/>
        </w:rPr>
        <w:t xml:space="preserve"> действии</w:t>
      </w:r>
      <w:r w:rsidRPr="0089712A">
        <w:rPr>
          <w:rFonts w:ascii="Times New Roman" w:hAnsi="Times New Roman" w:cs="Times New Roman"/>
          <w:kern w:val="28"/>
        </w:rPr>
        <w:t xml:space="preserve">, существенно повышая качество жизни пациентов, может индуцировать нарушения равновесия </w:t>
      </w:r>
      <w:proofErr w:type="spellStart"/>
      <w:r w:rsidRPr="0089712A">
        <w:rPr>
          <w:rFonts w:ascii="Times New Roman" w:hAnsi="Times New Roman" w:cs="Times New Roman"/>
          <w:kern w:val="28"/>
        </w:rPr>
        <w:t>микробиоценозов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различных биотопов, включая кожные покровы, кишечник и урогенитальную сферу у женщин. В настоящее время научным сообществом доказана значимость микробного симбиоза в развитии дерматозов. При этом, если особенности кишечного и кожного микробиома при псориазе описаны достаточно подробно, то характеристика микробного пейзажа генитальной области остается малоизученной.</w:t>
      </w:r>
    </w:p>
    <w:p w14:paraId="1B1C2DC4" w14:textId="7568F3D5" w:rsidR="00653E9D" w:rsidRPr="00653E9D" w:rsidRDefault="004E5EDA" w:rsidP="00653E9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Cs w:val="28"/>
        </w:rPr>
      </w:pPr>
      <w:r>
        <w:rPr>
          <w:rFonts w:ascii="Times New Roman" w:hAnsi="Times New Roman" w:cs="Times New Roman"/>
          <w:kern w:val="28"/>
          <w:szCs w:val="28"/>
        </w:rPr>
        <w:t>Цель работы: в</w:t>
      </w:r>
      <w:r w:rsidR="00653E9D" w:rsidRPr="00653E9D">
        <w:rPr>
          <w:rFonts w:ascii="Times New Roman" w:hAnsi="Times New Roman" w:cs="Times New Roman"/>
          <w:kern w:val="28"/>
          <w:szCs w:val="28"/>
        </w:rPr>
        <w:t xml:space="preserve">ыявить влияние </w:t>
      </w:r>
      <w:r w:rsidR="00170565">
        <w:rPr>
          <w:rFonts w:ascii="Times New Roman" w:hAnsi="Times New Roman" w:cs="Times New Roman"/>
          <w:kern w:val="28"/>
          <w:szCs w:val="28"/>
        </w:rPr>
        <w:t>генно-инженерной</w:t>
      </w:r>
      <w:r w:rsidR="00F502EC">
        <w:rPr>
          <w:rFonts w:ascii="Times New Roman" w:hAnsi="Times New Roman" w:cs="Times New Roman"/>
          <w:kern w:val="28"/>
          <w:szCs w:val="28"/>
        </w:rPr>
        <w:t xml:space="preserve"> </w:t>
      </w:r>
      <w:r w:rsidR="00170565">
        <w:rPr>
          <w:rFonts w:ascii="Times New Roman" w:hAnsi="Times New Roman" w:cs="Times New Roman"/>
          <w:kern w:val="28"/>
          <w:szCs w:val="28"/>
        </w:rPr>
        <w:t xml:space="preserve">биологической </w:t>
      </w:r>
      <w:r w:rsidR="00653E9D" w:rsidRPr="00653E9D">
        <w:rPr>
          <w:rFonts w:ascii="Times New Roman" w:hAnsi="Times New Roman" w:cs="Times New Roman"/>
          <w:kern w:val="28"/>
          <w:szCs w:val="28"/>
        </w:rPr>
        <w:t>терапии на патогенный потенциал микробиоты</w:t>
      </w:r>
      <w:r w:rsidR="000F2AD3">
        <w:rPr>
          <w:rFonts w:ascii="Times New Roman" w:hAnsi="Times New Roman" w:cs="Times New Roman"/>
          <w:kern w:val="28"/>
          <w:szCs w:val="28"/>
        </w:rPr>
        <w:t xml:space="preserve"> урогенитального тракта пациенток с псориазом</w:t>
      </w:r>
      <w:r w:rsidR="00653E9D" w:rsidRPr="00653E9D">
        <w:rPr>
          <w:rFonts w:ascii="Times New Roman" w:hAnsi="Times New Roman" w:cs="Times New Roman"/>
          <w:kern w:val="28"/>
          <w:szCs w:val="28"/>
        </w:rPr>
        <w:t>.</w:t>
      </w:r>
    </w:p>
    <w:p w14:paraId="78CD0E2F" w14:textId="45D07D21" w:rsidR="00514067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В рамках исследования обследовано 60 пациенток, страдающих вульгарным псориазом и псориатическим артритом</w:t>
      </w:r>
      <w:r w:rsidR="006869D3">
        <w:rPr>
          <w:rFonts w:ascii="Times New Roman" w:hAnsi="Times New Roman" w:cs="Times New Roman"/>
          <w:kern w:val="28"/>
        </w:rPr>
        <w:t>,</w:t>
      </w:r>
      <w:r w:rsidR="006869D3" w:rsidRPr="006869D3">
        <w:rPr>
          <w:rFonts w:ascii="Times New Roman" w:hAnsi="Times New Roman" w:cs="Times New Roman"/>
          <w:kern w:val="28"/>
        </w:rPr>
        <w:t xml:space="preserve"> </w:t>
      </w:r>
      <w:r w:rsidR="006869D3" w:rsidRPr="0089712A">
        <w:rPr>
          <w:rFonts w:ascii="Times New Roman" w:hAnsi="Times New Roman" w:cs="Times New Roman"/>
          <w:kern w:val="28"/>
        </w:rPr>
        <w:t>у которых наблюдались клинические проявления в области гениталий</w:t>
      </w:r>
      <w:r w:rsidRPr="0089712A">
        <w:rPr>
          <w:rFonts w:ascii="Times New Roman" w:hAnsi="Times New Roman" w:cs="Times New Roman"/>
          <w:kern w:val="28"/>
        </w:rPr>
        <w:t>. Длительность заболевания в среднем составляла 1</w:t>
      </w:r>
      <w:r w:rsidR="00514067">
        <w:rPr>
          <w:rFonts w:ascii="Times New Roman" w:hAnsi="Times New Roman" w:cs="Times New Roman"/>
          <w:kern w:val="28"/>
        </w:rPr>
        <w:t>5</w:t>
      </w:r>
      <w:r w:rsidRPr="0089712A">
        <w:rPr>
          <w:rFonts w:ascii="Times New Roman" w:hAnsi="Times New Roman" w:cs="Times New Roman"/>
          <w:kern w:val="28"/>
        </w:rPr>
        <w:t>,</w:t>
      </w:r>
      <w:r w:rsidR="00514067">
        <w:rPr>
          <w:rFonts w:ascii="Times New Roman" w:hAnsi="Times New Roman" w:cs="Times New Roman"/>
          <w:kern w:val="28"/>
        </w:rPr>
        <w:t>6</w:t>
      </w:r>
      <w:r w:rsidRPr="0089712A">
        <w:rPr>
          <w:rFonts w:ascii="Times New Roman" w:hAnsi="Times New Roman" w:cs="Times New Roman"/>
          <w:kern w:val="28"/>
        </w:rPr>
        <w:t>±</w:t>
      </w:r>
      <w:r w:rsidR="00514067">
        <w:rPr>
          <w:rFonts w:ascii="Times New Roman" w:hAnsi="Times New Roman" w:cs="Times New Roman"/>
          <w:kern w:val="28"/>
        </w:rPr>
        <w:t>6</w:t>
      </w:r>
      <w:r w:rsidRPr="0089712A">
        <w:rPr>
          <w:rFonts w:ascii="Times New Roman" w:hAnsi="Times New Roman" w:cs="Times New Roman"/>
          <w:kern w:val="28"/>
        </w:rPr>
        <w:t>,</w:t>
      </w:r>
      <w:r w:rsidR="00514067">
        <w:rPr>
          <w:rFonts w:ascii="Times New Roman" w:hAnsi="Times New Roman" w:cs="Times New Roman"/>
          <w:kern w:val="28"/>
        </w:rPr>
        <w:t>2</w:t>
      </w:r>
      <w:r w:rsidRPr="0089712A">
        <w:rPr>
          <w:rFonts w:ascii="Times New Roman" w:hAnsi="Times New Roman" w:cs="Times New Roman"/>
          <w:kern w:val="28"/>
        </w:rPr>
        <w:t xml:space="preserve"> года. У 3</w:t>
      </w:r>
      <w:r w:rsidR="00514067">
        <w:rPr>
          <w:rFonts w:ascii="Times New Roman" w:hAnsi="Times New Roman" w:cs="Times New Roman"/>
          <w:kern w:val="28"/>
        </w:rPr>
        <w:t>7</w:t>
      </w:r>
      <w:r w:rsidRPr="0089712A">
        <w:rPr>
          <w:rFonts w:ascii="Times New Roman" w:hAnsi="Times New Roman" w:cs="Times New Roman"/>
          <w:kern w:val="28"/>
        </w:rPr>
        <w:t xml:space="preserve"> (6</w:t>
      </w:r>
      <w:r w:rsidR="00514067">
        <w:rPr>
          <w:rFonts w:ascii="Times New Roman" w:hAnsi="Times New Roman" w:cs="Times New Roman"/>
          <w:kern w:val="28"/>
        </w:rPr>
        <w:t>1</w:t>
      </w:r>
      <w:r w:rsidRPr="0089712A">
        <w:rPr>
          <w:rFonts w:ascii="Times New Roman" w:hAnsi="Times New Roman" w:cs="Times New Roman"/>
          <w:kern w:val="28"/>
        </w:rPr>
        <w:t>,</w:t>
      </w:r>
      <w:r w:rsidR="00514067">
        <w:rPr>
          <w:rFonts w:ascii="Times New Roman" w:hAnsi="Times New Roman" w:cs="Times New Roman"/>
          <w:kern w:val="28"/>
        </w:rPr>
        <w:t>6</w:t>
      </w:r>
      <w:r w:rsidRPr="0089712A">
        <w:rPr>
          <w:rFonts w:ascii="Times New Roman" w:hAnsi="Times New Roman" w:cs="Times New Roman"/>
          <w:kern w:val="28"/>
        </w:rPr>
        <w:t>±</w:t>
      </w:r>
      <w:r w:rsidR="00514067">
        <w:rPr>
          <w:rFonts w:ascii="Times New Roman" w:hAnsi="Times New Roman" w:cs="Times New Roman"/>
          <w:kern w:val="28"/>
        </w:rPr>
        <w:t>4</w:t>
      </w:r>
      <w:r w:rsidRPr="0089712A">
        <w:rPr>
          <w:rFonts w:ascii="Times New Roman" w:hAnsi="Times New Roman" w:cs="Times New Roman"/>
          <w:kern w:val="28"/>
        </w:rPr>
        <w:t>,</w:t>
      </w:r>
      <w:r w:rsidR="00514067">
        <w:rPr>
          <w:rFonts w:ascii="Times New Roman" w:hAnsi="Times New Roman" w:cs="Times New Roman"/>
          <w:kern w:val="28"/>
        </w:rPr>
        <w:t>1</w:t>
      </w:r>
      <w:r w:rsidRPr="0089712A">
        <w:rPr>
          <w:rFonts w:ascii="Times New Roman" w:hAnsi="Times New Roman" w:cs="Times New Roman"/>
          <w:kern w:val="28"/>
        </w:rPr>
        <w:t xml:space="preserve">%) из них был отягощен семейный анамнез, а дебют патологии пришелся на возраст моложе 30 лет. </w:t>
      </w:r>
    </w:p>
    <w:p w14:paraId="7D698AF7" w14:textId="193EC5D4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Все участницы были распределены на две группы. В первую группу (n=3</w:t>
      </w:r>
      <w:r w:rsidR="00514067">
        <w:rPr>
          <w:rFonts w:ascii="Times New Roman" w:hAnsi="Times New Roman" w:cs="Times New Roman"/>
          <w:kern w:val="28"/>
        </w:rPr>
        <w:t>3</w:t>
      </w:r>
      <w:r w:rsidRPr="0089712A">
        <w:rPr>
          <w:rFonts w:ascii="Times New Roman" w:hAnsi="Times New Roman" w:cs="Times New Roman"/>
          <w:kern w:val="28"/>
        </w:rPr>
        <w:t>; 5</w:t>
      </w:r>
      <w:r w:rsidR="00514067">
        <w:rPr>
          <w:rFonts w:ascii="Times New Roman" w:hAnsi="Times New Roman" w:cs="Times New Roman"/>
          <w:kern w:val="28"/>
        </w:rPr>
        <w:t>5</w:t>
      </w:r>
      <w:r w:rsidRPr="0089712A">
        <w:rPr>
          <w:rFonts w:ascii="Times New Roman" w:hAnsi="Times New Roman" w:cs="Times New Roman"/>
          <w:kern w:val="28"/>
        </w:rPr>
        <w:t>,</w:t>
      </w:r>
      <w:r w:rsidR="00514067">
        <w:rPr>
          <w:rFonts w:ascii="Times New Roman" w:hAnsi="Times New Roman" w:cs="Times New Roman"/>
          <w:kern w:val="28"/>
        </w:rPr>
        <w:t>0</w:t>
      </w:r>
      <w:r w:rsidRPr="0089712A">
        <w:rPr>
          <w:rFonts w:ascii="Times New Roman" w:hAnsi="Times New Roman" w:cs="Times New Roman"/>
          <w:kern w:val="28"/>
        </w:rPr>
        <w:t>%) вошли пациентки, получавшие таргетную терапию биопрепаратами. Во вторую группу (n=2</w:t>
      </w:r>
      <w:r w:rsidR="00514067">
        <w:rPr>
          <w:rFonts w:ascii="Times New Roman" w:hAnsi="Times New Roman" w:cs="Times New Roman"/>
          <w:kern w:val="28"/>
        </w:rPr>
        <w:t>7</w:t>
      </w:r>
      <w:r w:rsidRPr="0089712A">
        <w:rPr>
          <w:rFonts w:ascii="Times New Roman" w:hAnsi="Times New Roman" w:cs="Times New Roman"/>
          <w:kern w:val="28"/>
        </w:rPr>
        <w:t>; 4</w:t>
      </w:r>
      <w:r w:rsidR="00514067">
        <w:rPr>
          <w:rFonts w:ascii="Times New Roman" w:hAnsi="Times New Roman" w:cs="Times New Roman"/>
          <w:kern w:val="28"/>
        </w:rPr>
        <w:t>5</w:t>
      </w:r>
      <w:r w:rsidRPr="0089712A">
        <w:rPr>
          <w:rFonts w:ascii="Times New Roman" w:hAnsi="Times New Roman" w:cs="Times New Roman"/>
          <w:kern w:val="28"/>
        </w:rPr>
        <w:t>,</w:t>
      </w:r>
      <w:r w:rsidR="00514067">
        <w:rPr>
          <w:rFonts w:ascii="Times New Roman" w:hAnsi="Times New Roman" w:cs="Times New Roman"/>
          <w:kern w:val="28"/>
        </w:rPr>
        <w:t>0</w:t>
      </w:r>
      <w:r w:rsidRPr="0089712A">
        <w:rPr>
          <w:rFonts w:ascii="Times New Roman" w:hAnsi="Times New Roman" w:cs="Times New Roman"/>
          <w:kern w:val="28"/>
        </w:rPr>
        <w:t>%) включены женщины, получавшие стандартную системную терапию (фототерапия, цитостатики). Поскольку наличие псориатического артрита является одним из ключевых показаний к назначению генно-инженерных биологических препаратов, в первой группе доля таких пациенток была существенно выше (5</w:t>
      </w:r>
      <w:r w:rsidR="00381EE5">
        <w:rPr>
          <w:rFonts w:ascii="Times New Roman" w:hAnsi="Times New Roman" w:cs="Times New Roman"/>
          <w:kern w:val="28"/>
        </w:rPr>
        <w:t>7</w:t>
      </w:r>
      <w:r w:rsidRPr="0089712A">
        <w:rPr>
          <w:rFonts w:ascii="Times New Roman" w:hAnsi="Times New Roman" w:cs="Times New Roman"/>
          <w:kern w:val="28"/>
        </w:rPr>
        <w:t>,</w:t>
      </w:r>
      <w:r w:rsidR="00381EE5">
        <w:rPr>
          <w:rFonts w:ascii="Times New Roman" w:hAnsi="Times New Roman" w:cs="Times New Roman"/>
          <w:kern w:val="28"/>
        </w:rPr>
        <w:t>6</w:t>
      </w:r>
      <w:r w:rsidRPr="0089712A">
        <w:rPr>
          <w:rFonts w:ascii="Times New Roman" w:hAnsi="Times New Roman" w:cs="Times New Roman"/>
          <w:kern w:val="28"/>
        </w:rPr>
        <w:t>%) по сравнению со второй (2</w:t>
      </w:r>
      <w:r w:rsidR="00381EE5">
        <w:rPr>
          <w:rFonts w:ascii="Times New Roman" w:hAnsi="Times New Roman" w:cs="Times New Roman"/>
          <w:kern w:val="28"/>
        </w:rPr>
        <w:t>9</w:t>
      </w:r>
      <w:r w:rsidRPr="0089712A">
        <w:rPr>
          <w:rFonts w:ascii="Times New Roman" w:hAnsi="Times New Roman" w:cs="Times New Roman"/>
          <w:kern w:val="28"/>
        </w:rPr>
        <w:t>,6%).</w:t>
      </w:r>
    </w:p>
    <w:p w14:paraId="5505129A" w14:textId="7D09C813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 xml:space="preserve">Для анализа вагинальной микробиоты использовалась методика ПЦР в реальном времени («Фемофлор-16»), позволяющая идентифицировать и количественно оценивать </w:t>
      </w:r>
      <w:proofErr w:type="spellStart"/>
      <w:r w:rsidRPr="0089712A">
        <w:rPr>
          <w:rFonts w:ascii="Times New Roman" w:hAnsi="Times New Roman" w:cs="Times New Roman"/>
          <w:kern w:val="28"/>
        </w:rPr>
        <w:t>труднокультивируемые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анаэробные микроорганизмы, недоступные для выявления классическими бактериологическими методами, включая</w:t>
      </w:r>
      <w:r w:rsidR="00810C82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</w:rPr>
        <w:t>Fannyhessea vaginae</w:t>
      </w:r>
      <w:r w:rsidR="00810C82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>(</w:t>
      </w:r>
      <w:r w:rsidR="006869D3">
        <w:rPr>
          <w:rFonts w:ascii="Times New Roman" w:hAnsi="Times New Roman" w:cs="Times New Roman"/>
          <w:kern w:val="28"/>
        </w:rPr>
        <w:t xml:space="preserve">ранее – </w:t>
      </w:r>
      <w:r w:rsidRPr="006869D3">
        <w:rPr>
          <w:rFonts w:ascii="Times New Roman" w:hAnsi="Times New Roman" w:cs="Times New Roman"/>
          <w:i/>
          <w:iCs/>
          <w:kern w:val="28"/>
          <w:lang w:val="en-US"/>
        </w:rPr>
        <w:t>Atopobium</w:t>
      </w:r>
      <w:r w:rsidRPr="006869D3">
        <w:rPr>
          <w:rFonts w:ascii="Times New Roman" w:hAnsi="Times New Roman" w:cs="Times New Roman"/>
          <w:i/>
          <w:iCs/>
          <w:kern w:val="28"/>
        </w:rPr>
        <w:t xml:space="preserve"> </w:t>
      </w:r>
      <w:r w:rsidRPr="006869D3">
        <w:rPr>
          <w:rFonts w:ascii="Times New Roman" w:hAnsi="Times New Roman" w:cs="Times New Roman"/>
          <w:i/>
          <w:iCs/>
          <w:kern w:val="28"/>
          <w:lang w:val="en-US"/>
        </w:rPr>
        <w:t>vaginae</w:t>
      </w:r>
      <w:r w:rsidRPr="0089712A">
        <w:rPr>
          <w:rFonts w:ascii="Times New Roman" w:hAnsi="Times New Roman" w:cs="Times New Roman"/>
          <w:kern w:val="28"/>
        </w:rPr>
        <w:t xml:space="preserve">), рассматриваемый в качестве высокоспецифичного маркера </w:t>
      </w:r>
      <w:proofErr w:type="spellStart"/>
      <w:r w:rsidRPr="0089712A">
        <w:rPr>
          <w:rFonts w:ascii="Times New Roman" w:hAnsi="Times New Roman" w:cs="Times New Roman"/>
          <w:kern w:val="28"/>
        </w:rPr>
        <w:t>дисбиотических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нарушений [1]. Дополнительно проводился поиск генетических детерминант патогенности у данного вида.</w:t>
      </w:r>
    </w:p>
    <w:p w14:paraId="3EA774F0" w14:textId="03AAAE00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 xml:space="preserve">Оценка влияния заболевания на повседневную жизнь проводилась с применением дерматологического индекса качества жизни (DLQI) [3]. Было установлено значительное негативное влияние псориатических высыпаний на качество жизни респонденток. </w:t>
      </w:r>
      <w:r w:rsidR="00A805A8">
        <w:rPr>
          <w:rFonts w:ascii="Times New Roman" w:hAnsi="Times New Roman" w:cs="Times New Roman"/>
          <w:kern w:val="28"/>
        </w:rPr>
        <w:t>П</w:t>
      </w:r>
      <w:r w:rsidRPr="0089712A">
        <w:rPr>
          <w:rFonts w:ascii="Times New Roman" w:hAnsi="Times New Roman" w:cs="Times New Roman"/>
          <w:kern w:val="28"/>
        </w:rPr>
        <w:t xml:space="preserve">римечательно, что при первичном обращении ни одна из пациенток не предъявляла активных жалоб на поражение паховой области. Тем не менее, в процессе анкетирования влияние дерматоза на интимную сферу было оценено как существенное: негативные последствия отметили </w:t>
      </w:r>
      <w:r w:rsidR="00074CB3">
        <w:rPr>
          <w:rFonts w:ascii="Times New Roman" w:hAnsi="Times New Roman" w:cs="Times New Roman"/>
          <w:kern w:val="28"/>
        </w:rPr>
        <w:t>75,8</w:t>
      </w:r>
      <w:r w:rsidRPr="0089712A">
        <w:rPr>
          <w:rFonts w:ascii="Times New Roman" w:hAnsi="Times New Roman" w:cs="Times New Roman"/>
          <w:kern w:val="28"/>
        </w:rPr>
        <w:t>±</w:t>
      </w:r>
      <w:r w:rsidR="00074CB3">
        <w:rPr>
          <w:rFonts w:ascii="Times New Roman" w:hAnsi="Times New Roman" w:cs="Times New Roman"/>
          <w:kern w:val="28"/>
        </w:rPr>
        <w:t>7</w:t>
      </w:r>
      <w:r w:rsidRPr="0089712A">
        <w:rPr>
          <w:rFonts w:ascii="Times New Roman" w:hAnsi="Times New Roman" w:cs="Times New Roman"/>
          <w:kern w:val="28"/>
        </w:rPr>
        <w:t>,</w:t>
      </w:r>
      <w:r w:rsidR="00074CB3">
        <w:rPr>
          <w:rFonts w:ascii="Times New Roman" w:hAnsi="Times New Roman" w:cs="Times New Roman"/>
          <w:kern w:val="28"/>
        </w:rPr>
        <w:t>3</w:t>
      </w:r>
      <w:r w:rsidRPr="0089712A">
        <w:rPr>
          <w:rFonts w:ascii="Times New Roman" w:hAnsi="Times New Roman" w:cs="Times New Roman"/>
          <w:kern w:val="28"/>
        </w:rPr>
        <w:t>% женщин первой группы и 6</w:t>
      </w:r>
      <w:r w:rsidR="00887D79">
        <w:rPr>
          <w:rFonts w:ascii="Times New Roman" w:hAnsi="Times New Roman" w:cs="Times New Roman"/>
          <w:kern w:val="28"/>
        </w:rPr>
        <w:t>6</w:t>
      </w:r>
      <w:r w:rsidRPr="0089712A">
        <w:rPr>
          <w:rFonts w:ascii="Times New Roman" w:hAnsi="Times New Roman" w:cs="Times New Roman"/>
          <w:kern w:val="28"/>
        </w:rPr>
        <w:t>,</w:t>
      </w:r>
      <w:r w:rsidR="00887D79">
        <w:rPr>
          <w:rFonts w:ascii="Times New Roman" w:hAnsi="Times New Roman" w:cs="Times New Roman"/>
          <w:kern w:val="28"/>
        </w:rPr>
        <w:t>7</w:t>
      </w:r>
      <w:r w:rsidRPr="0089712A">
        <w:rPr>
          <w:rFonts w:ascii="Times New Roman" w:hAnsi="Times New Roman" w:cs="Times New Roman"/>
          <w:kern w:val="28"/>
        </w:rPr>
        <w:t>±</w:t>
      </w:r>
      <w:r w:rsidR="00887D79">
        <w:rPr>
          <w:rFonts w:ascii="Times New Roman" w:hAnsi="Times New Roman" w:cs="Times New Roman"/>
          <w:kern w:val="28"/>
        </w:rPr>
        <w:t>8,5</w:t>
      </w:r>
      <w:r w:rsidRPr="0089712A">
        <w:rPr>
          <w:rFonts w:ascii="Times New Roman" w:hAnsi="Times New Roman" w:cs="Times New Roman"/>
          <w:kern w:val="28"/>
        </w:rPr>
        <w:t>% второй группы.</w:t>
      </w:r>
    </w:p>
    <w:p w14:paraId="393DF09B" w14:textId="4067C0BB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i/>
          <w:iCs/>
          <w:kern w:val="28"/>
        </w:rPr>
        <w:lastRenderedPageBreak/>
        <w:t>Fannyhessea vaginae</w:t>
      </w:r>
      <w:r w:rsidR="00CF0D65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>– представитель семейства</w:t>
      </w:r>
      <w:r w:rsidR="00810C82" w:rsidRPr="0089712A">
        <w:rPr>
          <w:rFonts w:ascii="Times New Roman" w:hAnsi="Times New Roman" w:cs="Times New Roman"/>
          <w:kern w:val="28"/>
        </w:rPr>
        <w:t xml:space="preserve"> </w:t>
      </w:r>
      <w:proofErr w:type="spellStart"/>
      <w:r w:rsidRPr="0089712A">
        <w:rPr>
          <w:rFonts w:ascii="Times New Roman" w:hAnsi="Times New Roman" w:cs="Times New Roman"/>
          <w:i/>
          <w:iCs/>
          <w:kern w:val="28"/>
        </w:rPr>
        <w:t>Atopobiaceae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. Данные </w:t>
      </w:r>
      <w:proofErr w:type="spellStart"/>
      <w:r w:rsidRPr="0089712A">
        <w:rPr>
          <w:rFonts w:ascii="Times New Roman" w:hAnsi="Times New Roman" w:cs="Times New Roman"/>
          <w:kern w:val="28"/>
        </w:rPr>
        <w:t>коккобактерии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выявляются </w:t>
      </w:r>
      <w:r w:rsidR="003334CB" w:rsidRPr="0089712A">
        <w:rPr>
          <w:rFonts w:ascii="Times New Roman" w:hAnsi="Times New Roman" w:cs="Times New Roman"/>
          <w:kern w:val="28"/>
        </w:rPr>
        <w:t xml:space="preserve">только </w:t>
      </w:r>
      <w:r w:rsidRPr="0089712A">
        <w:rPr>
          <w:rFonts w:ascii="Times New Roman" w:hAnsi="Times New Roman" w:cs="Times New Roman"/>
          <w:kern w:val="28"/>
        </w:rPr>
        <w:t>у 8–25% здоровых женщин, однако значительно чаще (50–96%) обнаруживаются при бактериальном вагинозе и ассоциированы с неэффективностью проводимой терапии. Данный микроорганизм нередко присутствует в ассоциации с иными агентами, типичными для вагиноза (например,</w:t>
      </w:r>
      <w:r w:rsidR="00810C82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Gardnerella</w:t>
      </w:r>
      <w:r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vaginalis</w:t>
      </w:r>
      <w:r w:rsidRPr="0089712A">
        <w:rPr>
          <w:rFonts w:ascii="Times New Roman" w:hAnsi="Times New Roman" w:cs="Times New Roman"/>
          <w:kern w:val="28"/>
        </w:rPr>
        <w:t xml:space="preserve">), с которыми способен формировать </w:t>
      </w:r>
      <w:proofErr w:type="spellStart"/>
      <w:r w:rsidRPr="0089712A">
        <w:rPr>
          <w:rFonts w:ascii="Times New Roman" w:hAnsi="Times New Roman" w:cs="Times New Roman"/>
          <w:kern w:val="28"/>
        </w:rPr>
        <w:t>синергичные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биопленки</w:t>
      </w:r>
      <w:r w:rsidR="003334CB" w:rsidRPr="0089712A">
        <w:rPr>
          <w:rFonts w:ascii="Times New Roman" w:hAnsi="Times New Roman" w:cs="Times New Roman"/>
          <w:kern w:val="28"/>
        </w:rPr>
        <w:t xml:space="preserve"> [4]</w:t>
      </w:r>
      <w:r w:rsidRPr="0089712A">
        <w:rPr>
          <w:rFonts w:ascii="Times New Roman" w:hAnsi="Times New Roman" w:cs="Times New Roman"/>
          <w:kern w:val="28"/>
        </w:rPr>
        <w:t>.</w:t>
      </w:r>
    </w:p>
    <w:p w14:paraId="184446D9" w14:textId="2C051678" w:rsidR="00636950" w:rsidRPr="0089712A" w:rsidRDefault="00AC6047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Установлено</w:t>
      </w:r>
      <w:r w:rsidR="00636950" w:rsidRPr="0089712A">
        <w:rPr>
          <w:rFonts w:ascii="Times New Roman" w:hAnsi="Times New Roman" w:cs="Times New Roman"/>
          <w:kern w:val="28"/>
        </w:rPr>
        <w:t xml:space="preserve">, что применение таргетных биологических </w:t>
      </w:r>
      <w:proofErr w:type="spellStart"/>
      <w:r w:rsidR="00636950" w:rsidRPr="0089712A">
        <w:rPr>
          <w:rFonts w:ascii="Times New Roman" w:hAnsi="Times New Roman" w:cs="Times New Roman"/>
          <w:kern w:val="28"/>
        </w:rPr>
        <w:t>иммуносупрессантов</w:t>
      </w:r>
      <w:proofErr w:type="spellEnd"/>
      <w:r w:rsidR="00636950" w:rsidRPr="0089712A">
        <w:rPr>
          <w:rFonts w:ascii="Times New Roman" w:hAnsi="Times New Roman" w:cs="Times New Roman"/>
          <w:kern w:val="28"/>
        </w:rPr>
        <w:t xml:space="preserve"> приводит к статистически значимому повышению качества жизни у пациенток со всеми формами псориаза. До начала лечения лишь </w:t>
      </w:r>
      <w:r w:rsidR="00F12A63">
        <w:rPr>
          <w:rFonts w:ascii="Times New Roman" w:hAnsi="Times New Roman" w:cs="Times New Roman"/>
          <w:kern w:val="28"/>
        </w:rPr>
        <w:t>8</w:t>
      </w:r>
      <w:r w:rsidR="00636950" w:rsidRPr="0089712A">
        <w:rPr>
          <w:rFonts w:ascii="Times New Roman" w:hAnsi="Times New Roman" w:cs="Times New Roman"/>
          <w:kern w:val="28"/>
        </w:rPr>
        <w:t>,3% женщин оценивали влияние болезни как незначительное, тогда как более половины (6</w:t>
      </w:r>
      <w:r w:rsidR="00F12A63">
        <w:rPr>
          <w:rFonts w:ascii="Times New Roman" w:hAnsi="Times New Roman" w:cs="Times New Roman"/>
          <w:kern w:val="28"/>
        </w:rPr>
        <w:t>8</w:t>
      </w:r>
      <w:r w:rsidR="00636950" w:rsidRPr="0089712A">
        <w:rPr>
          <w:rFonts w:ascii="Times New Roman" w:hAnsi="Times New Roman" w:cs="Times New Roman"/>
          <w:kern w:val="28"/>
        </w:rPr>
        <w:t>,</w:t>
      </w:r>
      <w:r w:rsidR="00F12A63">
        <w:rPr>
          <w:rFonts w:ascii="Times New Roman" w:hAnsi="Times New Roman" w:cs="Times New Roman"/>
          <w:kern w:val="28"/>
        </w:rPr>
        <w:t>3</w:t>
      </w:r>
      <w:r w:rsidR="00636950" w:rsidRPr="0089712A">
        <w:rPr>
          <w:rFonts w:ascii="Times New Roman" w:hAnsi="Times New Roman" w:cs="Times New Roman"/>
          <w:kern w:val="28"/>
        </w:rPr>
        <w:t>±1</w:t>
      </w:r>
      <w:r w:rsidR="00F12A63">
        <w:rPr>
          <w:rFonts w:ascii="Times New Roman" w:hAnsi="Times New Roman" w:cs="Times New Roman"/>
          <w:kern w:val="28"/>
        </w:rPr>
        <w:t>0</w:t>
      </w:r>
      <w:r w:rsidR="00636950" w:rsidRPr="0089712A">
        <w:rPr>
          <w:rFonts w:ascii="Times New Roman" w:hAnsi="Times New Roman" w:cs="Times New Roman"/>
          <w:kern w:val="28"/>
        </w:rPr>
        <w:t>,</w:t>
      </w:r>
      <w:r w:rsidR="00F12A63">
        <w:rPr>
          <w:rFonts w:ascii="Times New Roman" w:hAnsi="Times New Roman" w:cs="Times New Roman"/>
          <w:kern w:val="28"/>
        </w:rPr>
        <w:t>6</w:t>
      </w:r>
      <w:r w:rsidR="00636950" w:rsidRPr="0089712A">
        <w:rPr>
          <w:rFonts w:ascii="Times New Roman" w:hAnsi="Times New Roman" w:cs="Times New Roman"/>
          <w:kern w:val="28"/>
        </w:rPr>
        <w:t>%) констатировали его выраженное воздействие. Спустя полгода таргетной терапии существенное улучшение качества жизни зафиксировано в 8</w:t>
      </w:r>
      <w:r w:rsidR="00AD0316">
        <w:rPr>
          <w:rFonts w:ascii="Times New Roman" w:hAnsi="Times New Roman" w:cs="Times New Roman"/>
          <w:kern w:val="28"/>
        </w:rPr>
        <w:t>5</w:t>
      </w:r>
      <w:r w:rsidR="00636950" w:rsidRPr="0089712A">
        <w:rPr>
          <w:rFonts w:ascii="Times New Roman" w:hAnsi="Times New Roman" w:cs="Times New Roman"/>
          <w:kern w:val="28"/>
        </w:rPr>
        <w:t>,</w:t>
      </w:r>
      <w:r w:rsidR="00AD0316">
        <w:rPr>
          <w:rFonts w:ascii="Times New Roman" w:hAnsi="Times New Roman" w:cs="Times New Roman"/>
          <w:kern w:val="28"/>
        </w:rPr>
        <w:t>0</w:t>
      </w:r>
      <w:r w:rsidR="00636950" w:rsidRPr="0089712A">
        <w:rPr>
          <w:rFonts w:ascii="Times New Roman" w:hAnsi="Times New Roman" w:cs="Times New Roman"/>
          <w:kern w:val="28"/>
        </w:rPr>
        <w:t>±</w:t>
      </w:r>
      <w:r w:rsidR="00AD0316">
        <w:rPr>
          <w:rFonts w:ascii="Times New Roman" w:hAnsi="Times New Roman" w:cs="Times New Roman"/>
          <w:kern w:val="28"/>
        </w:rPr>
        <w:t>4,8</w:t>
      </w:r>
      <w:r w:rsidR="00636950" w:rsidRPr="0089712A">
        <w:rPr>
          <w:rFonts w:ascii="Times New Roman" w:hAnsi="Times New Roman" w:cs="Times New Roman"/>
          <w:kern w:val="28"/>
        </w:rPr>
        <w:t>% наблюдений, в то время как в группе стандартной терапии данный показатель составил только 35,7±6,3% (p&lt;0,05).</w:t>
      </w:r>
    </w:p>
    <w:p w14:paraId="0E5EB2D3" w14:textId="2C5FBF97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 xml:space="preserve">Анализ вагинального микробиоценоза у пациенток на фоне таргетной терапии выявил статистически значимое возрастание частоты </w:t>
      </w:r>
      <w:proofErr w:type="spellStart"/>
      <w:r w:rsidRPr="0089712A">
        <w:rPr>
          <w:rFonts w:ascii="Times New Roman" w:hAnsi="Times New Roman" w:cs="Times New Roman"/>
          <w:kern w:val="28"/>
        </w:rPr>
        <w:t>дисбиотических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изменений, которые были диагностированы у 84,4±7,1% обследованных. В группе стандартного лечения данное состояние регистрировалось лишь в 4</w:t>
      </w:r>
      <w:r w:rsidR="00AD0316">
        <w:rPr>
          <w:rFonts w:ascii="Times New Roman" w:hAnsi="Times New Roman" w:cs="Times New Roman"/>
          <w:kern w:val="28"/>
        </w:rPr>
        <w:t>0</w:t>
      </w:r>
      <w:r w:rsidRPr="0089712A">
        <w:rPr>
          <w:rFonts w:ascii="Times New Roman" w:hAnsi="Times New Roman" w:cs="Times New Roman"/>
          <w:kern w:val="28"/>
        </w:rPr>
        <w:t>,</w:t>
      </w:r>
      <w:r w:rsidR="00AD0316">
        <w:rPr>
          <w:rFonts w:ascii="Times New Roman" w:hAnsi="Times New Roman" w:cs="Times New Roman"/>
          <w:kern w:val="28"/>
        </w:rPr>
        <w:t>7</w:t>
      </w:r>
      <w:r w:rsidRPr="0089712A">
        <w:rPr>
          <w:rFonts w:ascii="Times New Roman" w:hAnsi="Times New Roman" w:cs="Times New Roman"/>
          <w:kern w:val="28"/>
        </w:rPr>
        <w:t>±</w:t>
      </w:r>
      <w:r w:rsidR="00AD0316">
        <w:rPr>
          <w:rFonts w:ascii="Times New Roman" w:hAnsi="Times New Roman" w:cs="Times New Roman"/>
          <w:kern w:val="28"/>
        </w:rPr>
        <w:t>5,3</w:t>
      </w:r>
      <w:r w:rsidRPr="0089712A">
        <w:rPr>
          <w:rFonts w:ascii="Times New Roman" w:hAnsi="Times New Roman" w:cs="Times New Roman"/>
          <w:kern w:val="28"/>
        </w:rPr>
        <w:t>% случаев (p&lt;0,05).</w:t>
      </w:r>
    </w:p>
    <w:p w14:paraId="61FF00C6" w14:textId="57B1C569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Исследование показало снижение количества лактобактерий (нормальной микрофлоры) в обеих группах. В структуре анаэробного микробиоценоза</w:t>
      </w:r>
      <w:r w:rsidR="00FA3BDB">
        <w:rPr>
          <w:rFonts w:ascii="Times New Roman" w:hAnsi="Times New Roman" w:cs="Times New Roman"/>
          <w:kern w:val="28"/>
        </w:rPr>
        <w:t>,</w:t>
      </w:r>
      <w:r w:rsidRPr="0089712A">
        <w:rPr>
          <w:rFonts w:ascii="Times New Roman" w:hAnsi="Times New Roman" w:cs="Times New Roman"/>
          <w:kern w:val="28"/>
        </w:rPr>
        <w:t xml:space="preserve"> при дисбиозе</w:t>
      </w:r>
      <w:r w:rsidR="00FA3BDB">
        <w:rPr>
          <w:rFonts w:ascii="Times New Roman" w:hAnsi="Times New Roman" w:cs="Times New Roman"/>
          <w:kern w:val="28"/>
        </w:rPr>
        <w:t>,</w:t>
      </w:r>
      <w:r w:rsidRPr="0089712A">
        <w:rPr>
          <w:rFonts w:ascii="Times New Roman" w:hAnsi="Times New Roman" w:cs="Times New Roman"/>
          <w:kern w:val="28"/>
        </w:rPr>
        <w:t xml:space="preserve"> доминировал вид</w:t>
      </w:r>
      <w:r w:rsidR="00810C82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</w:rPr>
        <w:t>Fannyhessea vaginae</w:t>
      </w:r>
      <w:r w:rsidRPr="0089712A">
        <w:rPr>
          <w:rFonts w:ascii="Times New Roman" w:hAnsi="Times New Roman" w:cs="Times New Roman"/>
          <w:kern w:val="28"/>
        </w:rPr>
        <w:t>. При этом частота его обнаружения была достоверно выше у пациенток, получавших таргетную терапию, по сравнению с группой стандартного лечения (</w:t>
      </w:r>
      <w:r w:rsidR="00FA3BDB">
        <w:rPr>
          <w:rFonts w:ascii="Times New Roman" w:hAnsi="Times New Roman" w:cs="Times New Roman"/>
          <w:kern w:val="28"/>
        </w:rPr>
        <w:t>т</w:t>
      </w:r>
      <w:r w:rsidRPr="0089712A">
        <w:rPr>
          <w:rFonts w:ascii="Times New Roman" w:hAnsi="Times New Roman" w:cs="Times New Roman"/>
          <w:kern w:val="28"/>
        </w:rPr>
        <w:t>абл</w:t>
      </w:r>
      <w:r w:rsidR="00FA3BDB">
        <w:rPr>
          <w:rFonts w:ascii="Times New Roman" w:hAnsi="Times New Roman" w:cs="Times New Roman"/>
          <w:kern w:val="28"/>
        </w:rPr>
        <w:t>.</w:t>
      </w:r>
      <w:r w:rsidRPr="0089712A">
        <w:rPr>
          <w:rFonts w:ascii="Times New Roman" w:hAnsi="Times New Roman" w:cs="Times New Roman"/>
          <w:kern w:val="28"/>
        </w:rPr>
        <w:t>1).</w:t>
      </w:r>
    </w:p>
    <w:p w14:paraId="2506DD10" w14:textId="362C67A8" w:rsidR="007A12B6" w:rsidRPr="0089712A" w:rsidRDefault="00636950" w:rsidP="00810C82">
      <w:pPr>
        <w:spacing w:after="0" w:line="240" w:lineRule="auto"/>
        <w:jc w:val="right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Таблица 1</w:t>
      </w:r>
    </w:p>
    <w:p w14:paraId="42393C34" w14:textId="77777777" w:rsidR="00EA7923" w:rsidRDefault="00636950" w:rsidP="00810C82">
      <w:pPr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 xml:space="preserve">Сравнительная частота выявления микроорганизмов при вагинальном дисбиозе </w:t>
      </w:r>
    </w:p>
    <w:p w14:paraId="0ECD87A5" w14:textId="00FE98D1" w:rsidR="00636950" w:rsidRPr="0089712A" w:rsidRDefault="00636950" w:rsidP="00810C82">
      <w:pPr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в исследуемых группах (%)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1983"/>
        <w:gridCol w:w="2551"/>
        <w:gridCol w:w="2546"/>
      </w:tblGrid>
      <w:tr w:rsidR="00636950" w:rsidRPr="0089712A" w14:paraId="5F4CD4D3" w14:textId="77777777" w:rsidTr="00824439">
        <w:trPr>
          <w:trHeight w:val="23"/>
          <w:tblHeader/>
          <w:jc w:val="center"/>
        </w:trPr>
        <w:tc>
          <w:tcPr>
            <w:tcW w:w="13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98500" w14:textId="77777777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Микроорганизмы</w:t>
            </w:r>
          </w:p>
        </w:tc>
        <w:tc>
          <w:tcPr>
            <w:tcW w:w="103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EDB70" w14:textId="77777777" w:rsidR="00D40DDD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 xml:space="preserve">До таргетной </w:t>
            </w:r>
          </w:p>
          <w:p w14:paraId="1CD05CD2" w14:textId="659E70EB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терапии</w:t>
            </w:r>
          </w:p>
        </w:tc>
        <w:tc>
          <w:tcPr>
            <w:tcW w:w="13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26FB70" w14:textId="77777777" w:rsidR="00D40DDD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На фоне таргетной</w:t>
            </w:r>
          </w:p>
          <w:p w14:paraId="008595AC" w14:textId="5D88D69F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терапии</w:t>
            </w:r>
          </w:p>
        </w:tc>
        <w:tc>
          <w:tcPr>
            <w:tcW w:w="13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5558C4" w14:textId="77777777" w:rsidR="00D40DDD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Стандартное</w:t>
            </w:r>
          </w:p>
          <w:p w14:paraId="1FCB8F80" w14:textId="173B3C0F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лечение (2 группа)</w:t>
            </w:r>
          </w:p>
        </w:tc>
      </w:tr>
      <w:tr w:rsidR="00636950" w:rsidRPr="0089712A" w14:paraId="66CF2DAD" w14:textId="77777777" w:rsidTr="00824439">
        <w:trPr>
          <w:trHeight w:val="23"/>
          <w:jc w:val="center"/>
        </w:trPr>
        <w:tc>
          <w:tcPr>
            <w:tcW w:w="13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8D9841" w14:textId="32F44B67" w:rsidR="00636950" w:rsidRPr="0089712A" w:rsidRDefault="00636950" w:rsidP="00824439">
            <w:pPr>
              <w:spacing w:after="0" w:line="240" w:lineRule="auto"/>
              <w:ind w:right="-244"/>
              <w:rPr>
                <w:rFonts w:ascii="Times New Roman" w:hAnsi="Times New Roman" w:cs="Times New Roman"/>
                <w:kern w:val="28"/>
                <w:lang w:val="en-US"/>
              </w:rPr>
            </w:pPr>
            <w:r w:rsidRPr="0089712A">
              <w:rPr>
                <w:rFonts w:ascii="Times New Roman" w:hAnsi="Times New Roman" w:cs="Times New Roman"/>
                <w:i/>
                <w:iCs/>
                <w:kern w:val="28"/>
                <w:lang w:val="en-US"/>
              </w:rPr>
              <w:t>Lactobacillus</w:t>
            </w:r>
            <w:r w:rsidR="007A12B6" w:rsidRPr="0089712A">
              <w:rPr>
                <w:rFonts w:ascii="Times New Roman" w:hAnsi="Times New Roman" w:cs="Times New Roman"/>
                <w:i/>
                <w:iCs/>
                <w:kern w:val="28"/>
                <w:lang w:val="en-US"/>
              </w:rPr>
              <w:t xml:space="preserve"> </w:t>
            </w:r>
            <w:r w:rsidRPr="0089712A">
              <w:rPr>
                <w:rFonts w:ascii="Times New Roman" w:hAnsi="Times New Roman" w:cs="Times New Roman"/>
                <w:kern w:val="28"/>
                <w:lang w:val="en-US"/>
              </w:rPr>
              <w:t>spp.</w:t>
            </w:r>
          </w:p>
        </w:tc>
        <w:tc>
          <w:tcPr>
            <w:tcW w:w="103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16BF7E" w14:textId="77777777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75,0±4,2</w:t>
            </w:r>
          </w:p>
        </w:tc>
        <w:tc>
          <w:tcPr>
            <w:tcW w:w="13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BD225D" w14:textId="77777777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48,9±2,8*/**</w:t>
            </w:r>
          </w:p>
        </w:tc>
        <w:tc>
          <w:tcPr>
            <w:tcW w:w="13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DBF83D" w14:textId="77777777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69,4±3,2</w:t>
            </w:r>
          </w:p>
        </w:tc>
      </w:tr>
      <w:tr w:rsidR="00636950" w:rsidRPr="0089712A" w14:paraId="7175E970" w14:textId="77777777" w:rsidTr="00824439">
        <w:trPr>
          <w:trHeight w:val="23"/>
          <w:jc w:val="center"/>
        </w:trPr>
        <w:tc>
          <w:tcPr>
            <w:tcW w:w="1323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1826CE" w14:textId="77777777" w:rsidR="00636950" w:rsidRPr="0089712A" w:rsidRDefault="00636950" w:rsidP="00824439">
            <w:pPr>
              <w:spacing w:after="0" w:line="240" w:lineRule="auto"/>
              <w:ind w:right="-244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i/>
                <w:iCs/>
                <w:kern w:val="28"/>
              </w:rPr>
              <w:t>Fannyhessea vaginae</w:t>
            </w:r>
          </w:p>
        </w:tc>
        <w:tc>
          <w:tcPr>
            <w:tcW w:w="103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958852" w14:textId="77777777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50,0±1,9</w:t>
            </w:r>
          </w:p>
        </w:tc>
        <w:tc>
          <w:tcPr>
            <w:tcW w:w="132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9BA9AC" w14:textId="77777777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95,7±3,5*/**</w:t>
            </w:r>
          </w:p>
        </w:tc>
        <w:tc>
          <w:tcPr>
            <w:tcW w:w="1322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C91D4D" w14:textId="77777777" w:rsidR="00636950" w:rsidRPr="0089712A" w:rsidRDefault="00636950" w:rsidP="00824439">
            <w:pPr>
              <w:spacing w:after="0" w:line="240" w:lineRule="auto"/>
              <w:ind w:right="-244"/>
              <w:jc w:val="center"/>
              <w:rPr>
                <w:rFonts w:ascii="Times New Roman" w:hAnsi="Times New Roman" w:cs="Times New Roman"/>
                <w:kern w:val="28"/>
              </w:rPr>
            </w:pPr>
            <w:r w:rsidRPr="0089712A">
              <w:rPr>
                <w:rFonts w:ascii="Times New Roman" w:hAnsi="Times New Roman" w:cs="Times New Roman"/>
                <w:kern w:val="28"/>
              </w:rPr>
              <w:t>66,7±3,6</w:t>
            </w:r>
          </w:p>
        </w:tc>
      </w:tr>
    </w:tbl>
    <w:p w14:paraId="680CA284" w14:textId="71AE4DE7" w:rsidR="00E529B3" w:rsidRPr="00E529B3" w:rsidRDefault="007A12B6" w:rsidP="00E529B3">
      <w:pPr>
        <w:pStyle w:val="ac"/>
        <w:kinsoku w:val="0"/>
        <w:overflowPunct w:val="0"/>
        <w:spacing w:before="0" w:after="0"/>
        <w:ind w:firstLine="0"/>
        <w:rPr>
          <w:rFonts w:cs="Times New Roman"/>
          <w:szCs w:val="24"/>
        </w:rPr>
      </w:pPr>
      <w:r w:rsidRPr="00E529B3">
        <w:rPr>
          <w:rFonts w:cs="Times New Roman"/>
          <w:szCs w:val="24"/>
        </w:rPr>
        <w:t>* –</w:t>
      </w:r>
      <w:r w:rsidR="00E529B3" w:rsidRPr="00E529B3">
        <w:rPr>
          <w:rFonts w:cs="Times New Roman"/>
          <w:szCs w:val="24"/>
        </w:rPr>
        <w:t xml:space="preserve"> статистически значимая разница между группами, до начала таргетной терапии (</w:t>
      </w:r>
      <w:r w:rsidR="00E529B3" w:rsidRPr="00E529B3">
        <w:rPr>
          <w:rFonts w:cs="Times New Roman"/>
          <w:iCs/>
          <w:szCs w:val="24"/>
        </w:rPr>
        <w:t>p&lt;0,05)</w:t>
      </w:r>
      <w:r w:rsidR="00E529B3">
        <w:rPr>
          <w:rFonts w:cs="Times New Roman"/>
          <w:iCs/>
          <w:szCs w:val="24"/>
        </w:rPr>
        <w:t>;</w:t>
      </w:r>
    </w:p>
    <w:p w14:paraId="302060D7" w14:textId="4626023C" w:rsidR="007A12B6" w:rsidRPr="0089712A" w:rsidRDefault="007A12B6" w:rsidP="00E529B3">
      <w:pPr>
        <w:pStyle w:val="ac"/>
        <w:kinsoku w:val="0"/>
        <w:overflowPunct w:val="0"/>
        <w:spacing w:before="0" w:after="0"/>
        <w:ind w:firstLine="0"/>
        <w:rPr>
          <w:rFonts w:cs="Times New Roman"/>
          <w:szCs w:val="24"/>
        </w:rPr>
      </w:pPr>
      <w:r w:rsidRPr="0089712A">
        <w:rPr>
          <w:rFonts w:cs="Times New Roman"/>
          <w:szCs w:val="24"/>
        </w:rPr>
        <w:t xml:space="preserve">** – </w:t>
      </w:r>
      <w:r w:rsidR="00E529B3" w:rsidRPr="00E529B3">
        <w:rPr>
          <w:rFonts w:cs="Times New Roman"/>
          <w:szCs w:val="24"/>
        </w:rPr>
        <w:t>статистически значимая разница между</w:t>
      </w:r>
      <w:r w:rsidRPr="0089712A">
        <w:rPr>
          <w:rFonts w:cs="Times New Roman"/>
          <w:szCs w:val="24"/>
        </w:rPr>
        <w:t xml:space="preserve"> первой и второй группами</w:t>
      </w:r>
    </w:p>
    <w:p w14:paraId="77C9CBF8" w14:textId="77777777" w:rsidR="007A12B6" w:rsidRPr="0089712A" w:rsidRDefault="007A12B6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</w:p>
    <w:p w14:paraId="3CCB3920" w14:textId="7550BD92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Учитывая выявленное статистически значимое преобладание</w:t>
      </w:r>
      <w:r w:rsidR="007A12B6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</w:rPr>
        <w:t>Fannyhessea vaginae</w:t>
      </w:r>
      <w:r w:rsidR="007A12B6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>в микробиоте генитального тракта</w:t>
      </w:r>
      <w:r w:rsidR="0049290B">
        <w:rPr>
          <w:rFonts w:ascii="Times New Roman" w:hAnsi="Times New Roman" w:cs="Times New Roman"/>
          <w:kern w:val="28"/>
        </w:rPr>
        <w:t>,</w:t>
      </w:r>
      <w:r w:rsidRPr="0089712A">
        <w:rPr>
          <w:rFonts w:ascii="Times New Roman" w:hAnsi="Times New Roman" w:cs="Times New Roman"/>
          <w:kern w:val="28"/>
        </w:rPr>
        <w:t xml:space="preserve"> на фоне таргетной терапии, было проведено изучение его патогенных свойств. Молекулярно-генетический анализ был направлен на выявление нуклеотидных последовательностей генов, ассоциированных с патогенностью (по базе NCBI):</w:t>
      </w:r>
    </w:p>
    <w:p w14:paraId="5B5B6793" w14:textId="7008D0E3" w:rsidR="00636950" w:rsidRPr="0089712A" w:rsidRDefault="00636950" w:rsidP="00810C8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i/>
          <w:iCs/>
          <w:kern w:val="28"/>
        </w:rPr>
        <w:t>GAPDH</w:t>
      </w:r>
      <w:r w:rsidR="007A12B6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>– ген, кодирующий фермент, способный блокировать систему комплемента и участвовать в регуляции клеточного дыхания.</w:t>
      </w:r>
    </w:p>
    <w:p w14:paraId="5CA16245" w14:textId="5040BB21" w:rsidR="00636950" w:rsidRPr="0089712A" w:rsidRDefault="00636950" w:rsidP="00810C8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Veg</w:t>
      </w:r>
      <w:r w:rsidRPr="0051123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family</w:t>
      </w:r>
      <w:r w:rsidRPr="0051123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protein</w:t>
      </w:r>
      <w:r w:rsidR="007A12B6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 xml:space="preserve">– ген, стимулирующий </w:t>
      </w:r>
      <w:proofErr w:type="spellStart"/>
      <w:r w:rsidRPr="0089712A">
        <w:rPr>
          <w:rFonts w:ascii="Times New Roman" w:hAnsi="Times New Roman" w:cs="Times New Roman"/>
          <w:kern w:val="28"/>
        </w:rPr>
        <w:t>колониеобразование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и формирование биопленок, что является ключевым этапом взаимодействия на уровне макро- и микроорганизма</w:t>
      </w:r>
      <w:r w:rsidR="00C13F04">
        <w:rPr>
          <w:rFonts w:ascii="Times New Roman" w:hAnsi="Times New Roman" w:cs="Times New Roman"/>
          <w:kern w:val="28"/>
        </w:rPr>
        <w:t>,</w:t>
      </w:r>
      <w:r w:rsidRPr="0089712A">
        <w:rPr>
          <w:rFonts w:ascii="Times New Roman" w:hAnsi="Times New Roman" w:cs="Times New Roman"/>
          <w:kern w:val="28"/>
        </w:rPr>
        <w:t xml:space="preserve"> при развитии инфекционного процесса.</w:t>
      </w:r>
    </w:p>
    <w:p w14:paraId="3643D22D" w14:textId="5D97B03D" w:rsidR="00636950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Установлено, что гены, детерминирующие факторы патогенности</w:t>
      </w:r>
      <w:r w:rsidR="007A12B6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</w:rPr>
        <w:t>Fannyhessea vaginae</w:t>
      </w:r>
      <w:r w:rsidRPr="0089712A">
        <w:rPr>
          <w:rFonts w:ascii="Times New Roman" w:hAnsi="Times New Roman" w:cs="Times New Roman"/>
          <w:kern w:val="28"/>
        </w:rPr>
        <w:t xml:space="preserve">, обнаруживаются достоверно чаще в условиях вагинального дисбиоза, чем при </w:t>
      </w:r>
      <w:proofErr w:type="spellStart"/>
      <w:r w:rsidRPr="0089712A">
        <w:rPr>
          <w:rFonts w:ascii="Times New Roman" w:hAnsi="Times New Roman" w:cs="Times New Roman"/>
          <w:kern w:val="28"/>
        </w:rPr>
        <w:t>нормобиоценозе</w:t>
      </w:r>
      <w:proofErr w:type="spellEnd"/>
      <w:r w:rsidRPr="0089712A">
        <w:rPr>
          <w:rFonts w:ascii="Times New Roman" w:hAnsi="Times New Roman" w:cs="Times New Roman"/>
          <w:kern w:val="28"/>
        </w:rPr>
        <w:t>. Так, последовательности генов</w:t>
      </w:r>
      <w:r w:rsidR="007A12B6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GAPDH</w:t>
      </w:r>
      <w:r w:rsidR="007A12B6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>и</w:t>
      </w:r>
      <w:r w:rsidR="007A12B6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Veg</w:t>
      </w:r>
      <w:r w:rsidRPr="00DE0CF6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family</w:t>
      </w:r>
      <w:r w:rsidRPr="00DE0CF6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protein</w:t>
      </w:r>
      <w:r w:rsidR="007A12B6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 xml:space="preserve">идентифицированы у 63,0±6,7% и 40,7±4,8% пациенток с дисбиозом соответственно, тогда как при </w:t>
      </w:r>
      <w:proofErr w:type="spellStart"/>
      <w:r w:rsidRPr="0089712A">
        <w:rPr>
          <w:rFonts w:ascii="Times New Roman" w:hAnsi="Times New Roman" w:cs="Times New Roman"/>
          <w:kern w:val="28"/>
        </w:rPr>
        <w:t>нормобиоценозе</w:t>
      </w:r>
      <w:proofErr w:type="spellEnd"/>
      <w:r w:rsidRPr="0089712A">
        <w:rPr>
          <w:rFonts w:ascii="Times New Roman" w:hAnsi="Times New Roman" w:cs="Times New Roman"/>
          <w:kern w:val="28"/>
        </w:rPr>
        <w:t xml:space="preserve"> эти показатели составили лишь 37,0±2,6% и 14,8±3,1% (p&lt;0,05).</w:t>
      </w:r>
    </w:p>
    <w:p w14:paraId="5AD5E50A" w14:textId="06D04644" w:rsidR="00D173BA" w:rsidRPr="0089712A" w:rsidRDefault="00636950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Резюме.</w:t>
      </w:r>
      <w:r w:rsidR="007A12B6" w:rsidRPr="0089712A">
        <w:rPr>
          <w:rFonts w:ascii="Times New Roman" w:hAnsi="Times New Roman" w:cs="Times New Roman"/>
          <w:b/>
          <w:b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 xml:space="preserve">По истечении 6 месяцев таргетной терапии зафиксировано статистически значимое увеличение частоты встречаемости условно-патогенной микрофлоры генитального тракта (84,4±7,1%) по сравнению с группой стандартного лечения (46,4±4,9%; p&lt;0,05). В </w:t>
      </w:r>
      <w:r w:rsidRPr="0089712A">
        <w:rPr>
          <w:rFonts w:ascii="Times New Roman" w:hAnsi="Times New Roman" w:cs="Times New Roman"/>
          <w:kern w:val="28"/>
        </w:rPr>
        <w:lastRenderedPageBreak/>
        <w:t>структуре микробиоты доминировал трудно культивируемый анаэроб</w:t>
      </w:r>
      <w:r w:rsidR="007A12B6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</w:rPr>
        <w:t>Fannyhessea vaginae</w:t>
      </w:r>
      <w:r w:rsidRPr="0089712A">
        <w:rPr>
          <w:rFonts w:ascii="Times New Roman" w:hAnsi="Times New Roman" w:cs="Times New Roman"/>
          <w:kern w:val="28"/>
        </w:rPr>
        <w:t>. У данного вида отмечено существенное нарастание доли клеток, несущих гены</w:t>
      </w:r>
      <w:r w:rsidR="007A12B6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GAPDH</w:t>
      </w:r>
      <w:r w:rsidR="007A12B6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>(63,0±6,7%) и</w:t>
      </w:r>
      <w:r w:rsidR="007A12B6" w:rsidRPr="0089712A">
        <w:rPr>
          <w:rFonts w:ascii="Times New Roman" w:hAnsi="Times New Roman" w:cs="Times New Roman"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Veg</w:t>
      </w:r>
      <w:r w:rsidRPr="0051123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family</w:t>
      </w:r>
      <w:r w:rsidRPr="0051123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i/>
          <w:iCs/>
          <w:kern w:val="28"/>
          <w:lang w:val="en-US"/>
        </w:rPr>
        <w:t>protein</w:t>
      </w:r>
      <w:r w:rsidR="007A12B6" w:rsidRPr="0089712A">
        <w:rPr>
          <w:rFonts w:ascii="Times New Roman" w:hAnsi="Times New Roman" w:cs="Times New Roman"/>
          <w:i/>
          <w:iCs/>
          <w:kern w:val="28"/>
        </w:rPr>
        <w:t xml:space="preserve"> </w:t>
      </w:r>
      <w:r w:rsidRPr="0089712A">
        <w:rPr>
          <w:rFonts w:ascii="Times New Roman" w:hAnsi="Times New Roman" w:cs="Times New Roman"/>
          <w:kern w:val="28"/>
        </w:rPr>
        <w:t>(37,0±2,6%), которые детерминируют его патогенный потенциал и способствуют развитию воспалительных реакций в урогенитальном тракте.</w:t>
      </w:r>
    </w:p>
    <w:p w14:paraId="43DFE31D" w14:textId="77777777" w:rsidR="0071327E" w:rsidRPr="0089712A" w:rsidRDefault="0071327E" w:rsidP="00810C8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</w:rPr>
      </w:pPr>
    </w:p>
    <w:p w14:paraId="2C2F9980" w14:textId="2563B377" w:rsidR="00F83A2F" w:rsidRDefault="0071327E" w:rsidP="00F83A2F">
      <w:pPr>
        <w:spacing w:after="0" w:line="240" w:lineRule="auto"/>
        <w:jc w:val="center"/>
        <w:rPr>
          <w:rFonts w:ascii="Times New Roman" w:hAnsi="Times New Roman" w:cs="Times New Roman"/>
          <w:kern w:val="28"/>
        </w:rPr>
      </w:pPr>
      <w:r w:rsidRPr="0089712A">
        <w:rPr>
          <w:rFonts w:ascii="Times New Roman" w:hAnsi="Times New Roman" w:cs="Times New Roman"/>
          <w:kern w:val="28"/>
        </w:rPr>
        <w:t>Список литературы</w:t>
      </w:r>
    </w:p>
    <w:p w14:paraId="3360FF11" w14:textId="22BE0A79" w:rsidR="00F83A2F" w:rsidRPr="00F83A2F" w:rsidRDefault="00F83A2F" w:rsidP="00F83A2F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kern w:val="28"/>
        </w:rPr>
      </w:pPr>
      <w:r w:rsidRPr="00F83A2F">
        <w:rPr>
          <w:rFonts w:ascii="Times New Roman" w:hAnsi="Times New Roman" w:cs="Times New Roman"/>
          <w:kern w:val="28"/>
        </w:rPr>
        <w:t>Шипицына, Д. В. Опыт применения метода «</w:t>
      </w:r>
      <w:proofErr w:type="spellStart"/>
      <w:r w:rsidRPr="00F83A2F">
        <w:rPr>
          <w:rFonts w:ascii="Times New Roman" w:hAnsi="Times New Roman" w:cs="Times New Roman"/>
          <w:kern w:val="28"/>
        </w:rPr>
        <w:t>Фемофлор</w:t>
      </w:r>
      <w:proofErr w:type="spellEnd"/>
      <w:r w:rsidRPr="00F83A2F">
        <w:rPr>
          <w:rFonts w:ascii="Times New Roman" w:hAnsi="Times New Roman" w:cs="Times New Roman"/>
          <w:kern w:val="28"/>
        </w:rPr>
        <w:t xml:space="preserve">-16» для диагностики </w:t>
      </w:r>
      <w:proofErr w:type="spellStart"/>
      <w:r w:rsidRPr="00F83A2F">
        <w:rPr>
          <w:rFonts w:ascii="Times New Roman" w:hAnsi="Times New Roman" w:cs="Times New Roman"/>
          <w:kern w:val="28"/>
        </w:rPr>
        <w:t>дисбиотических</w:t>
      </w:r>
      <w:proofErr w:type="spellEnd"/>
      <w:r w:rsidRPr="00F83A2F">
        <w:rPr>
          <w:rFonts w:ascii="Times New Roman" w:hAnsi="Times New Roman" w:cs="Times New Roman"/>
          <w:kern w:val="28"/>
        </w:rPr>
        <w:t xml:space="preserve"> состояний урогенитального тракта / Д. В. Шипицына [и др.] // Журнал акушерства и женских болезней.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2013.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Т. 62, № 3.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С. 78-85.</w:t>
      </w:r>
    </w:p>
    <w:p w14:paraId="2B260C50" w14:textId="7F93234B" w:rsidR="00F83A2F" w:rsidRPr="00F83A2F" w:rsidRDefault="00F83A2F" w:rsidP="00F83A2F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kern w:val="28"/>
        </w:rPr>
      </w:pPr>
      <w:r w:rsidRPr="00F83A2F">
        <w:rPr>
          <w:rFonts w:ascii="Times New Roman" w:hAnsi="Times New Roman" w:cs="Times New Roman"/>
          <w:kern w:val="28"/>
        </w:rPr>
        <w:t xml:space="preserve">Финогенов, А. Ю. Дерматологический индекс качества жизни (ДИКЖ) как интегративный показатель состояния больных дерматозами / А. Ю. Финогенов, С. А. Масюкова // Вестник дерматологии и венерологии.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2006.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№ 3.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С. 16-20.</w:t>
      </w:r>
    </w:p>
    <w:p w14:paraId="6DB32A6F" w14:textId="0548DF33" w:rsidR="00F83A2F" w:rsidRPr="00F83A2F" w:rsidRDefault="00F83A2F" w:rsidP="00F83A2F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kern w:val="28"/>
        </w:rPr>
      </w:pPr>
      <w:proofErr w:type="spellStart"/>
      <w:r w:rsidRPr="00F83A2F">
        <w:rPr>
          <w:rFonts w:ascii="Times New Roman" w:hAnsi="Times New Roman" w:cs="Times New Roman"/>
          <w:kern w:val="28"/>
        </w:rPr>
        <w:t>Хеир</w:t>
      </w:r>
      <w:proofErr w:type="spellEnd"/>
      <w:r w:rsidRPr="00F83A2F">
        <w:rPr>
          <w:rFonts w:ascii="Times New Roman" w:hAnsi="Times New Roman" w:cs="Times New Roman"/>
          <w:kern w:val="28"/>
        </w:rPr>
        <w:t xml:space="preserve">, К. Псориаз. Руководство по диагностике и терапии / К. </w:t>
      </w:r>
      <w:proofErr w:type="spellStart"/>
      <w:r w:rsidRPr="00F83A2F">
        <w:rPr>
          <w:rFonts w:ascii="Times New Roman" w:hAnsi="Times New Roman" w:cs="Times New Roman"/>
          <w:kern w:val="28"/>
        </w:rPr>
        <w:t>Хеир</w:t>
      </w:r>
      <w:proofErr w:type="spellEnd"/>
      <w:r w:rsidRPr="00F83A2F">
        <w:rPr>
          <w:rFonts w:ascii="Times New Roman" w:hAnsi="Times New Roman" w:cs="Times New Roman"/>
          <w:kern w:val="28"/>
        </w:rPr>
        <w:t xml:space="preserve">, Л. </w:t>
      </w:r>
      <w:proofErr w:type="spellStart"/>
      <w:r w:rsidRPr="00F83A2F">
        <w:rPr>
          <w:rFonts w:ascii="Times New Roman" w:hAnsi="Times New Roman" w:cs="Times New Roman"/>
          <w:kern w:val="28"/>
        </w:rPr>
        <w:t>Найдеро</w:t>
      </w:r>
      <w:proofErr w:type="spellEnd"/>
      <w:r w:rsidRPr="00F83A2F">
        <w:rPr>
          <w:rFonts w:ascii="Times New Roman" w:hAnsi="Times New Roman" w:cs="Times New Roman"/>
          <w:kern w:val="28"/>
        </w:rPr>
        <w:t xml:space="preserve">; пер. с англ. под ред. А. А. Кубановой.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Москва: </w:t>
      </w:r>
      <w:proofErr w:type="spellStart"/>
      <w:r w:rsidRPr="00F83A2F">
        <w:rPr>
          <w:rFonts w:ascii="Times New Roman" w:hAnsi="Times New Roman" w:cs="Times New Roman"/>
          <w:kern w:val="28"/>
        </w:rPr>
        <w:t>ГЭОТАР</w:t>
      </w:r>
      <w:proofErr w:type="spellEnd"/>
      <w:r w:rsidRPr="00F83A2F">
        <w:rPr>
          <w:rFonts w:ascii="Times New Roman" w:hAnsi="Times New Roman" w:cs="Times New Roman"/>
          <w:kern w:val="28"/>
        </w:rPr>
        <w:t xml:space="preserve">-Медиа, 2020. </w:t>
      </w:r>
      <w:r w:rsidR="00F502EC">
        <w:rPr>
          <w:rFonts w:ascii="Times New Roman" w:hAnsi="Times New Roman" w:cs="Times New Roman"/>
          <w:kern w:val="28"/>
        </w:rPr>
        <w:t xml:space="preserve">– </w:t>
      </w:r>
      <w:r w:rsidRPr="00F83A2F">
        <w:rPr>
          <w:rFonts w:ascii="Times New Roman" w:hAnsi="Times New Roman" w:cs="Times New Roman"/>
          <w:kern w:val="28"/>
        </w:rPr>
        <w:t xml:space="preserve"> 192 с.</w:t>
      </w:r>
    </w:p>
    <w:p w14:paraId="0DD3EBD5" w14:textId="59F4D7AC" w:rsidR="0051123A" w:rsidRPr="00F502EC" w:rsidRDefault="00F83A2F" w:rsidP="0071327E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kern w:val="28"/>
          <w:lang w:val="en-US"/>
        </w:rPr>
      </w:pPr>
      <w:r w:rsidRPr="00F83A2F">
        <w:rPr>
          <w:rFonts w:ascii="Times New Roman" w:hAnsi="Times New Roman" w:cs="Times New Roman"/>
          <w:kern w:val="28"/>
          <w:lang w:val="en-US"/>
        </w:rPr>
        <w:t>Patterson, J.</w:t>
      </w:r>
      <w:r w:rsidRPr="00F83A2F">
        <w:rPr>
          <w:rFonts w:ascii="Times New Roman" w:hAnsi="Times New Roman" w:cs="Times New Roman"/>
          <w:b/>
          <w:bCs/>
          <w:kern w:val="28"/>
          <w:lang w:val="en-US"/>
        </w:rPr>
        <w:t xml:space="preserve"> </w:t>
      </w:r>
      <w:r w:rsidRPr="00F502EC">
        <w:rPr>
          <w:rFonts w:ascii="Times New Roman" w:hAnsi="Times New Roman" w:cs="Times New Roman"/>
          <w:kern w:val="28"/>
          <w:lang w:val="en-US"/>
        </w:rPr>
        <w:t>L.</w:t>
      </w:r>
      <w:r w:rsidRPr="00F83A2F">
        <w:rPr>
          <w:rFonts w:ascii="Times New Roman" w:hAnsi="Times New Roman" w:cs="Times New Roman"/>
          <w:kern w:val="28"/>
          <w:lang w:val="en-US"/>
        </w:rPr>
        <w:t> Biofilm formation by </w:t>
      </w:r>
      <w:r w:rsidRPr="00F83A2F">
        <w:rPr>
          <w:rFonts w:ascii="Times New Roman" w:hAnsi="Times New Roman" w:cs="Times New Roman"/>
          <w:i/>
          <w:iCs/>
          <w:kern w:val="28"/>
          <w:lang w:val="en-US"/>
        </w:rPr>
        <w:t>Atopobium vaginae</w:t>
      </w:r>
      <w:r w:rsidRPr="00F83A2F">
        <w:rPr>
          <w:rFonts w:ascii="Times New Roman" w:hAnsi="Times New Roman" w:cs="Times New Roman"/>
          <w:kern w:val="28"/>
          <w:lang w:val="en-US"/>
        </w:rPr>
        <w:t> and </w:t>
      </w:r>
      <w:r w:rsidRPr="00F83A2F">
        <w:rPr>
          <w:rFonts w:ascii="Times New Roman" w:hAnsi="Times New Roman" w:cs="Times New Roman"/>
          <w:i/>
          <w:iCs/>
          <w:kern w:val="28"/>
          <w:lang w:val="en-US"/>
        </w:rPr>
        <w:t>Gardnerella vaginalis</w:t>
      </w:r>
      <w:r w:rsidRPr="00F83A2F">
        <w:rPr>
          <w:rFonts w:ascii="Times New Roman" w:hAnsi="Times New Roman" w:cs="Times New Roman"/>
          <w:kern w:val="28"/>
          <w:lang w:val="en-US"/>
        </w:rPr>
        <w:t xml:space="preserve"> in bacterial vaginosis: a scanning electron microscopy study / J. L. Patterson [et al.] // Journal of Clinical Microbiology. </w:t>
      </w:r>
      <w:r w:rsidR="00F502EC">
        <w:rPr>
          <w:rFonts w:ascii="Times New Roman" w:hAnsi="Times New Roman" w:cs="Times New Roman"/>
          <w:kern w:val="28"/>
          <w:lang w:val="en-US"/>
        </w:rPr>
        <w:t xml:space="preserve">– </w:t>
      </w:r>
      <w:r w:rsidRPr="00F83A2F">
        <w:rPr>
          <w:rFonts w:ascii="Times New Roman" w:hAnsi="Times New Roman" w:cs="Times New Roman"/>
          <w:kern w:val="28"/>
          <w:lang w:val="en-US"/>
        </w:rPr>
        <w:t xml:space="preserve"> 2010. </w:t>
      </w:r>
      <w:r w:rsidR="00F502EC">
        <w:rPr>
          <w:rFonts w:ascii="Times New Roman" w:hAnsi="Times New Roman" w:cs="Times New Roman"/>
          <w:kern w:val="28"/>
          <w:lang w:val="en-US"/>
        </w:rPr>
        <w:t xml:space="preserve">– </w:t>
      </w:r>
      <w:r w:rsidRPr="00F83A2F">
        <w:rPr>
          <w:rFonts w:ascii="Times New Roman" w:hAnsi="Times New Roman" w:cs="Times New Roman"/>
          <w:kern w:val="28"/>
          <w:lang w:val="en-US"/>
        </w:rPr>
        <w:t xml:space="preserve"> Vol. 48, № 11. </w:t>
      </w:r>
      <w:r w:rsidR="00F502EC">
        <w:rPr>
          <w:rFonts w:ascii="Times New Roman" w:hAnsi="Times New Roman" w:cs="Times New Roman"/>
          <w:kern w:val="28"/>
          <w:lang w:val="en-US"/>
        </w:rPr>
        <w:t xml:space="preserve">– </w:t>
      </w:r>
      <w:r w:rsidRPr="00F83A2F">
        <w:rPr>
          <w:rFonts w:ascii="Times New Roman" w:hAnsi="Times New Roman" w:cs="Times New Roman"/>
          <w:kern w:val="28"/>
          <w:lang w:val="en-US"/>
        </w:rPr>
        <w:t xml:space="preserve"> P. 4080-4086. </w:t>
      </w:r>
      <w:r w:rsidR="00F502EC">
        <w:rPr>
          <w:rFonts w:ascii="Times New Roman" w:hAnsi="Times New Roman" w:cs="Times New Roman"/>
          <w:kern w:val="28"/>
          <w:lang w:val="en-US"/>
        </w:rPr>
        <w:t xml:space="preserve">– </w:t>
      </w:r>
      <w:r w:rsidRPr="00F83A2F">
        <w:rPr>
          <w:rFonts w:ascii="Times New Roman" w:hAnsi="Times New Roman" w:cs="Times New Roman"/>
          <w:kern w:val="28"/>
          <w:lang w:val="en-US"/>
        </w:rPr>
        <w:t xml:space="preserve"> DOI: 10.1128/</w:t>
      </w:r>
      <w:proofErr w:type="spellStart"/>
      <w:r w:rsidRPr="00F83A2F">
        <w:rPr>
          <w:rFonts w:ascii="Times New Roman" w:hAnsi="Times New Roman" w:cs="Times New Roman"/>
          <w:kern w:val="28"/>
          <w:lang w:val="en-US"/>
        </w:rPr>
        <w:t>JCM.01290</w:t>
      </w:r>
      <w:proofErr w:type="spellEnd"/>
      <w:r w:rsidRPr="00F83A2F">
        <w:rPr>
          <w:rFonts w:ascii="Times New Roman" w:hAnsi="Times New Roman" w:cs="Times New Roman"/>
          <w:kern w:val="28"/>
          <w:lang w:val="en-US"/>
        </w:rPr>
        <w:t>-10.</w:t>
      </w:r>
    </w:p>
    <w:sectPr w:rsidR="0051123A" w:rsidRPr="00F502EC" w:rsidSect="007A12B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9003B"/>
    <w:multiLevelType w:val="multilevel"/>
    <w:tmpl w:val="25F4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24528"/>
    <w:multiLevelType w:val="multilevel"/>
    <w:tmpl w:val="A9A0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530943">
    <w:abstractNumId w:val="0"/>
  </w:num>
  <w:num w:numId="2" w16cid:durableId="200311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BA"/>
    <w:rsid w:val="000426AB"/>
    <w:rsid w:val="00074CB3"/>
    <w:rsid w:val="000F2AD3"/>
    <w:rsid w:val="000F556C"/>
    <w:rsid w:val="00170565"/>
    <w:rsid w:val="001C51F8"/>
    <w:rsid w:val="00291716"/>
    <w:rsid w:val="00301360"/>
    <w:rsid w:val="003334CB"/>
    <w:rsid w:val="003647FC"/>
    <w:rsid w:val="00381EE5"/>
    <w:rsid w:val="00445416"/>
    <w:rsid w:val="00462370"/>
    <w:rsid w:val="0049290B"/>
    <w:rsid w:val="004C5D84"/>
    <w:rsid w:val="004E5EDA"/>
    <w:rsid w:val="00511060"/>
    <w:rsid w:val="0051123A"/>
    <w:rsid w:val="00514067"/>
    <w:rsid w:val="00576C67"/>
    <w:rsid w:val="005F29D0"/>
    <w:rsid w:val="005F788B"/>
    <w:rsid w:val="00636950"/>
    <w:rsid w:val="00653E9D"/>
    <w:rsid w:val="006869D3"/>
    <w:rsid w:val="0071327E"/>
    <w:rsid w:val="007A12B6"/>
    <w:rsid w:val="007B7949"/>
    <w:rsid w:val="00810C82"/>
    <w:rsid w:val="00816893"/>
    <w:rsid w:val="00824439"/>
    <w:rsid w:val="008554FB"/>
    <w:rsid w:val="0088427E"/>
    <w:rsid w:val="00887D79"/>
    <w:rsid w:val="0089712A"/>
    <w:rsid w:val="008E2DCD"/>
    <w:rsid w:val="00994C89"/>
    <w:rsid w:val="00A805A8"/>
    <w:rsid w:val="00AC1627"/>
    <w:rsid w:val="00AC6047"/>
    <w:rsid w:val="00AD0316"/>
    <w:rsid w:val="00B546EB"/>
    <w:rsid w:val="00C13F04"/>
    <w:rsid w:val="00C574C4"/>
    <w:rsid w:val="00CF0D65"/>
    <w:rsid w:val="00D173BA"/>
    <w:rsid w:val="00D40DDD"/>
    <w:rsid w:val="00DE0CF6"/>
    <w:rsid w:val="00E37354"/>
    <w:rsid w:val="00E529B3"/>
    <w:rsid w:val="00EA7923"/>
    <w:rsid w:val="00F12A63"/>
    <w:rsid w:val="00F13728"/>
    <w:rsid w:val="00F502EC"/>
    <w:rsid w:val="00F83A2F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6771"/>
  <w15:chartTrackingRefBased/>
  <w15:docId w15:val="{E1205E4A-782C-494A-B706-3BF3600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3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3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3B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173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3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3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3B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E529B3"/>
    <w:pPr>
      <w:keepNext/>
      <w:widowControl w:val="0"/>
      <w:tabs>
        <w:tab w:val="left" w:pos="7230"/>
      </w:tabs>
      <w:autoSpaceDE w:val="0"/>
      <w:autoSpaceDN w:val="0"/>
      <w:adjustRightInd w:val="0"/>
      <w:spacing w:before="240" w:after="60" w:line="240" w:lineRule="auto"/>
      <w:ind w:firstLine="709"/>
      <w:jc w:val="both"/>
    </w:pPr>
    <w:rPr>
      <w:rFonts w:ascii="Times New Roman" w:hAnsi="Times New Roman"/>
      <w:kern w:val="28"/>
      <w:szCs w:val="28"/>
      <w:lang w:eastAsia="ru-RU"/>
      <w14:ligatures w14:val="none"/>
    </w:rPr>
  </w:style>
  <w:style w:type="character" w:customStyle="1" w:styleId="ad">
    <w:name w:val="Основной текст Знак"/>
    <w:basedOn w:val="a0"/>
    <w:link w:val="ac"/>
    <w:uiPriority w:val="99"/>
    <w:rsid w:val="00E529B3"/>
    <w:rPr>
      <w:rFonts w:ascii="Times New Roman" w:hAnsi="Times New Roman"/>
      <w:kern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Павлова</dc:creator>
  <cp:keywords/>
  <dc:description/>
  <cp:lastModifiedBy>DERM</cp:lastModifiedBy>
  <cp:revision>3</cp:revision>
  <dcterms:created xsi:type="dcterms:W3CDTF">2026-03-07T16:04:00Z</dcterms:created>
  <dcterms:modified xsi:type="dcterms:W3CDTF">2026-03-07T16:05:00Z</dcterms:modified>
</cp:coreProperties>
</file>