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92" w:rsidRDefault="004C4F92" w:rsidP="00DE5A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</w:pPr>
      <w:r w:rsidRPr="004C4F92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>Что выгоднее</w:t>
      </w:r>
      <w:r w:rsidR="00DE5A7F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>:</w:t>
      </w:r>
      <w:r w:rsidRPr="004C4F92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 xml:space="preserve"> </w:t>
      </w:r>
      <w:r w:rsidR="00DE5A7F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 xml:space="preserve"> штатный внутренний  аудитор</w:t>
      </w:r>
      <w:r w:rsidRPr="004C4F92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 xml:space="preserve"> или </w:t>
      </w:r>
      <w:r w:rsidR="00247BC0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>услуги внешнего</w:t>
      </w:r>
      <w:r w:rsidR="00DE5A7F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 xml:space="preserve"> аудитор</w:t>
      </w:r>
      <w:r w:rsidR="00247BC0"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  <w:t>а</w:t>
      </w:r>
    </w:p>
    <w:p w:rsidR="004C4F92" w:rsidRDefault="004C4F92" w:rsidP="004C4F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E5A7F" w:rsidRPr="00DE5A7F" w:rsidRDefault="00DE5A7F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E5A7F" w:rsidRPr="00DE5A7F" w:rsidRDefault="00DE5A7F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выгоднее держать в штате внутреннего аудитора или обращаться к внешним аудиторам?</w:t>
      </w:r>
    </w:p>
    <w:p w:rsidR="004C4F92" w:rsidRPr="00DE5A7F" w:rsidRDefault="004C4F92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color w:val="0F1115"/>
          <w:sz w:val="24"/>
          <w:szCs w:val="24"/>
          <w:lang w:eastAsia="ru-RU"/>
        </w:rPr>
      </w:pP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Однозначного ответа на вопрос, что выгоднее — держать штатного аудитора </w:t>
      </w:r>
      <w:r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предприятии 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привлекать внешнего — не существует. Оптимальный вариант зависит от размера компании, сложности процессов, бюджета и стратегических целей.</w:t>
      </w:r>
    </w:p>
    <w:p w:rsidR="004C4F92" w:rsidRPr="00DE5A7F" w:rsidRDefault="004C4F92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каждом из подходов есть свои сильные и слабые стороны, поэтому ключ к решению — в их сопоставлении с конкретными потребностями бизнеса.</w:t>
      </w:r>
    </w:p>
    <w:p w:rsidR="004C4F92" w:rsidRPr="00DE5A7F" w:rsidRDefault="00DE5A7F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таблице 1 представлен</w:t>
      </w:r>
      <w:r w:rsidR="004C4F92"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сравнительный </w:t>
      </w:r>
      <w:r w:rsidR="004C4F92"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подход</w:t>
      </w:r>
      <w:r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ключевых различий работы штатного внутреннего аудитора с внешним аудитором.</w:t>
      </w:r>
    </w:p>
    <w:p w:rsidR="00DE5A7F" w:rsidRDefault="00DE5A7F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Таблица 1 - Сравнительный подход ключевых различий работы штатного внутреннего аудитора с внешним аудитором.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2"/>
        <w:gridCol w:w="3651"/>
        <w:gridCol w:w="3402"/>
      </w:tblGrid>
      <w:tr w:rsidR="00DE5A7F" w:rsidRPr="00E63A40" w:rsidTr="001116C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022" w:type="dxa"/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651" w:type="dxa"/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 внутренний аудитор</w:t>
            </w:r>
          </w:p>
        </w:tc>
        <w:tc>
          <w:tcPr>
            <w:tcW w:w="3402" w:type="dxa"/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аудитор (</w:t>
            </w:r>
            <w:proofErr w:type="spellStart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аутсорсинг</w:t>
            </w:r>
            <w:proofErr w:type="spellEnd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E5A7F" w:rsidRPr="00E63A40" w:rsidTr="001116C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22" w:type="dxa"/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3651" w:type="dxa"/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Кажущаяся экономия, но есть скрытые расходы (ФОТ, налоги, обучение). Реальная стоимость часто начинается от 500 тыс. ₽.</w:t>
            </w:r>
          </w:p>
        </w:tc>
        <w:tc>
          <w:tcPr>
            <w:tcW w:w="3402" w:type="dxa"/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Прозрачная и фиксированная, но обычно выше — от 2 </w:t>
            </w:r>
            <w:proofErr w:type="spellStart"/>
            <w:proofErr w:type="gramStart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₽ за проект. Однако включает все расходы.</w:t>
            </w:r>
          </w:p>
        </w:tc>
      </w:tr>
      <w:tr w:rsidR="00DE5A7F" w:rsidRPr="00E63A40" w:rsidTr="00DE5A7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Глубина и фокус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Погружение в детали компании, но фокус может быть размыт из-за текущих задач (субъективность).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Свежий, независимый взгляд и системный подход, основанный на лучших практиках.</w:t>
            </w:r>
          </w:p>
        </w:tc>
      </w:tr>
      <w:tr w:rsidR="00DE5A7F" w:rsidRPr="00E63A40" w:rsidTr="00DE5A7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Объективность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Ограничена</w:t>
            </w:r>
            <w:proofErr w:type="gramEnd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из-за внутренних связей и корпоративной лояльности. Выводы могут быть смягчены.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высокая. Эксперт не связан с компанией и заинтересован только в результатах.</w:t>
            </w:r>
          </w:p>
        </w:tc>
      </w:tr>
      <w:tr w:rsidR="00DE5A7F" w:rsidRPr="00E63A40" w:rsidTr="00DE5A7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 и технологии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Ограничена</w:t>
            </w:r>
            <w:proofErr w:type="gramEnd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опытом одного человека или небольшой команды.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Широкий доступ к отраслевым </w:t>
            </w:r>
            <w:proofErr w:type="spellStart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бенчмаркам</w:t>
            </w:r>
            <w:proofErr w:type="spellEnd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узким специалистам и современным технологиям.</w:t>
            </w:r>
          </w:p>
        </w:tc>
      </w:tr>
      <w:tr w:rsidR="00DE5A7F" w:rsidRPr="00E63A40" w:rsidTr="00DE5A7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Непрерывность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мониторинг и глубокая преемственность знаний.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работа. Глубокого погружения в повседневную жизнь компании может не быть.</w:t>
            </w:r>
          </w:p>
        </w:tc>
      </w:tr>
      <w:tr w:rsidR="00DE5A7F" w:rsidRPr="00E63A40" w:rsidTr="00DE5A7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Ограничена</w:t>
            </w:r>
            <w:proofErr w:type="gramEnd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внутренними регламентами и должностными инструкциями.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7F" w:rsidRPr="004C4F92" w:rsidRDefault="00DE5A7F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Закреплена</w:t>
            </w:r>
            <w:proofErr w:type="gramEnd"/>
            <w:r w:rsidRPr="004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договором. Есть рычаги влияния на результат (например, гарантии качества).</w:t>
            </w:r>
          </w:p>
        </w:tc>
      </w:tr>
    </w:tbl>
    <w:p w:rsidR="00247BC0" w:rsidRDefault="00247BC0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C4F92" w:rsidRPr="004C4F92" w:rsidRDefault="004C4F92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собственного отдела внутреннего аудита — это стратегическая инвестиция, которая окупается в крупных или растущих компаниях. Этот вариант стоит рассмотреть, если:</w:t>
      </w:r>
    </w:p>
    <w:p w:rsidR="004C4F92" w:rsidRPr="004C4F92" w:rsidRDefault="004C4F92" w:rsidP="00DE5A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Компания крупная или быстрорастущая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Штатный аудитор может обеспечить постоянный и глубокий контроль на всех этапах расширения.</w:t>
      </w:r>
    </w:p>
    <w:p w:rsidR="004C4F92" w:rsidRPr="004C4F92" w:rsidRDefault="004C4F92" w:rsidP="00DE5A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Требуется непрерывный мониторинг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Если аудит нужен не раз в год, а ежеквартально или даже ежемесячно, свой сотрудник обойдется дешевле.</w:t>
      </w:r>
    </w:p>
    <w:p w:rsidR="004C4F92" w:rsidRPr="004C4F92" w:rsidRDefault="004C4F92" w:rsidP="00DE5A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Есть специфические отраслевые знания</w:t>
      </w:r>
      <w:r w:rsidRPr="004C4F9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: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Когда бизнес уникален, и новому человеку потребуются месяцы на погружение.</w:t>
      </w:r>
    </w:p>
    <w:p w:rsidR="004C4F92" w:rsidRPr="004C4F92" w:rsidRDefault="004C4F92" w:rsidP="00DE5A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lastRenderedPageBreak/>
        <w:t>Бюджет позволяет</w:t>
      </w:r>
      <w:r w:rsidRPr="004C4F9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: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Содержание квалифицированного специалиста — это существенные затраты на зарплату, налоги, обучение и оснащение рабочего места.</w:t>
      </w:r>
    </w:p>
    <w:p w:rsidR="00247BC0" w:rsidRDefault="004C4F92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Привлечение внешнего аудитора — это часто не просто статья расходов, а инвестиция в качество и эффективность. </w:t>
      </w:r>
    </w:p>
    <w:p w:rsidR="004C4F92" w:rsidRPr="004C4F92" w:rsidRDefault="004C4F92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может быть выгоднее, когда:</w:t>
      </w:r>
    </w:p>
    <w:p w:rsidR="004C4F92" w:rsidRPr="004C4F92" w:rsidRDefault="004C4F92" w:rsidP="00DE5A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Нужен «свежий взгляд» и объективность</w:t>
      </w:r>
      <w:r w:rsidRPr="004C4F9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: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Внешний эксперт способен увидеть системные ошибки, которые сотрудники перестали замечать из-за привычки или личных отношений.</w:t>
      </w:r>
    </w:p>
    <w:p w:rsidR="004C4F92" w:rsidRPr="004C4F92" w:rsidRDefault="004C4F92" w:rsidP="00DE5A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Требуется уникальная экспертиза</w:t>
      </w:r>
      <w:r w:rsidRPr="004C4F9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: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разовых сложных задач (IT-аудит, </w:t>
      </w:r>
      <w:proofErr w:type="spellStart"/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форензик</w:t>
      </w:r>
      <w:proofErr w:type="spellEnd"/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due</w:t>
      </w:r>
      <w:proofErr w:type="spellEnd"/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diligence</w:t>
      </w:r>
      <w:proofErr w:type="spellEnd"/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гораздо дешевле и эффективнее пригласить узкого специалиста, чем держать его в штате.</w:t>
      </w:r>
    </w:p>
    <w:p w:rsidR="004C4F92" w:rsidRPr="004C4F92" w:rsidRDefault="004C4F92" w:rsidP="00DE5A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Ресурсы компании ограничены</w:t>
      </w:r>
      <w:r w:rsidRPr="004C4F9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: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Штатный аудит отвлекает ключевых сотрудников от их основной работы. Внешний подрядчик снимает эту нагрузку.</w:t>
      </w:r>
    </w:p>
    <w:p w:rsidR="004C4F92" w:rsidRPr="004C4F92" w:rsidRDefault="004C4F92" w:rsidP="00DE5A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Важна</w:t>
      </w:r>
      <w:r w:rsidRPr="00DE5A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независимая оценка для </w:t>
      </w:r>
      <w:proofErr w:type="spellStart"/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стейкхолдеров</w:t>
      </w:r>
      <w:proofErr w:type="spellEnd"/>
      <w:r w:rsidRPr="004C4F9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: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Заключение внешнего аудитора имеет больший вес для инвесторов, банков и партнеров.</w:t>
      </w:r>
    </w:p>
    <w:p w:rsidR="004C4F92" w:rsidRDefault="004C4F92" w:rsidP="00DE5A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5A7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Результат прошлых проверок не внедрялся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Если рекомендации штатного аудитора игнорируются, внешний эксперт может стать для руководства более весомым аргументом.</w:t>
      </w:r>
    </w:p>
    <w:p w:rsidR="004C4F92" w:rsidRDefault="004C4F92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Да, существует гибридная модель — </w:t>
      </w:r>
      <w:proofErr w:type="spellStart"/>
      <w:r w:rsidRPr="00247B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ко-сорсинг</w:t>
      </w:r>
      <w:proofErr w:type="spellEnd"/>
      <w:r w:rsidRPr="00247B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proofErr w:type="spellStart"/>
      <w:r w:rsidRPr="00247B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co-sourcing</w:t>
      </w:r>
      <w:proofErr w:type="spellEnd"/>
      <w:r w:rsidRPr="00247B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Pr="004C4F9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подход, при котором у компании есть небольшой штатный отдел внутреннего аудита, который занимается рутинными и постоянными задачами, а для сложных или разовых проектов привлекаются внешние эксперты. Это позволяет совместить знание контекста с доступом к лучшим практикам.</w:t>
      </w:r>
    </w:p>
    <w:p w:rsidR="00DE5A7F" w:rsidRDefault="00DE5A7F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41ECE" w:rsidRDefault="00E41ECE" w:rsidP="004C4F9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E5A7F" w:rsidRPr="00DE5A7F" w:rsidRDefault="00DE5A7F" w:rsidP="00DE5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DE5A7F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Литература:</w:t>
      </w:r>
    </w:p>
    <w:p w:rsidR="00DE5A7F" w:rsidRDefault="00DE5A7F" w:rsidP="00DE5A7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7F">
        <w:rPr>
          <w:rFonts w:ascii="Times New Roman" w:hAnsi="Times New Roman" w:cs="Times New Roman"/>
          <w:sz w:val="24"/>
          <w:szCs w:val="24"/>
        </w:rPr>
        <w:t>Федеральный закон "Об аудиторской деятельности" от 30.12.2008 N 307-ФЗ (ред. от 26.12.2024г. № 481-ФЗ) [Электронный ресурс] //Справочно-правовая система «</w:t>
      </w:r>
      <w:proofErr w:type="spellStart"/>
      <w:r w:rsidRPr="00DE5A7F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DE5A7F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5" w:history="1">
        <w:r w:rsidRPr="00DE5A7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DE5A7F" w:rsidRDefault="00DE5A7F" w:rsidP="00DE5A7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A7F">
        <w:rPr>
          <w:rFonts w:ascii="Times New Roman" w:hAnsi="Times New Roman" w:cs="Times New Roman"/>
          <w:sz w:val="24"/>
          <w:szCs w:val="24"/>
        </w:rPr>
        <w:t>Ермишина</w:t>
      </w:r>
      <w:proofErr w:type="spellEnd"/>
      <w:r w:rsidRPr="00DE5A7F">
        <w:rPr>
          <w:rFonts w:ascii="Times New Roman" w:hAnsi="Times New Roman" w:cs="Times New Roman"/>
          <w:sz w:val="24"/>
          <w:szCs w:val="24"/>
        </w:rPr>
        <w:t xml:space="preserve">, О. Ф. Внутренний контроль в системе управления: организация и методы его проведения / О. Ф. </w:t>
      </w:r>
      <w:proofErr w:type="spellStart"/>
      <w:r w:rsidRPr="00DE5A7F">
        <w:rPr>
          <w:rFonts w:ascii="Times New Roman" w:hAnsi="Times New Roman" w:cs="Times New Roman"/>
          <w:sz w:val="24"/>
          <w:szCs w:val="24"/>
        </w:rPr>
        <w:t>Ермишина</w:t>
      </w:r>
      <w:proofErr w:type="spellEnd"/>
      <w:r w:rsidRPr="00DE5A7F">
        <w:rPr>
          <w:rFonts w:ascii="Times New Roman" w:hAnsi="Times New Roman" w:cs="Times New Roman"/>
          <w:sz w:val="24"/>
          <w:szCs w:val="24"/>
        </w:rPr>
        <w:t>, А. С. Ларина, А. Д. Гришкина // Журнал монетарной экономики и менеджмента. – 2025. – № 6. – С. 110-115.</w:t>
      </w:r>
    </w:p>
    <w:p w:rsidR="00DE5A7F" w:rsidRPr="00DE5A7F" w:rsidRDefault="00DE5A7F" w:rsidP="00DE5A7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A7F">
        <w:rPr>
          <w:rFonts w:ascii="Times New Roman" w:hAnsi="Times New Roman" w:cs="Times New Roman"/>
          <w:iCs/>
          <w:sz w:val="24"/>
          <w:szCs w:val="24"/>
        </w:rPr>
        <w:t>Ермишина</w:t>
      </w:r>
      <w:proofErr w:type="spellEnd"/>
      <w:r w:rsidRPr="00DE5A7F">
        <w:rPr>
          <w:rFonts w:ascii="Times New Roman" w:hAnsi="Times New Roman" w:cs="Times New Roman"/>
          <w:iCs/>
          <w:sz w:val="24"/>
          <w:szCs w:val="24"/>
        </w:rPr>
        <w:t xml:space="preserve"> О.Ф., Козлова А.Ф., </w:t>
      </w:r>
      <w:proofErr w:type="spellStart"/>
      <w:r w:rsidRPr="00DE5A7F">
        <w:rPr>
          <w:rFonts w:ascii="Times New Roman" w:hAnsi="Times New Roman" w:cs="Times New Roman"/>
          <w:iCs/>
          <w:sz w:val="24"/>
          <w:szCs w:val="24"/>
        </w:rPr>
        <w:t>Чекушкина</w:t>
      </w:r>
      <w:proofErr w:type="spellEnd"/>
      <w:r w:rsidRPr="00DE5A7F">
        <w:rPr>
          <w:rFonts w:ascii="Times New Roman" w:hAnsi="Times New Roman" w:cs="Times New Roman"/>
          <w:iCs/>
          <w:sz w:val="24"/>
          <w:szCs w:val="24"/>
        </w:rPr>
        <w:t xml:space="preserve"> А.Н. Внутренний контроль хозяйствующего субъекта: современные акценты применения и управления/ О.Ф. </w:t>
      </w:r>
      <w:proofErr w:type="spellStart"/>
      <w:r w:rsidRPr="00DE5A7F">
        <w:rPr>
          <w:rFonts w:ascii="Times New Roman" w:hAnsi="Times New Roman" w:cs="Times New Roman"/>
          <w:iCs/>
          <w:sz w:val="24"/>
          <w:szCs w:val="24"/>
        </w:rPr>
        <w:t>Ермишина</w:t>
      </w:r>
      <w:proofErr w:type="spellEnd"/>
      <w:r w:rsidRPr="00DE5A7F">
        <w:rPr>
          <w:rFonts w:ascii="Times New Roman" w:hAnsi="Times New Roman" w:cs="Times New Roman"/>
          <w:iCs/>
          <w:sz w:val="24"/>
          <w:szCs w:val="24"/>
        </w:rPr>
        <w:t xml:space="preserve">, А.Ф.Козлова, А.Н. </w:t>
      </w:r>
      <w:proofErr w:type="spellStart"/>
      <w:r w:rsidRPr="00DE5A7F">
        <w:rPr>
          <w:rFonts w:ascii="Times New Roman" w:hAnsi="Times New Roman" w:cs="Times New Roman"/>
          <w:iCs/>
          <w:sz w:val="24"/>
          <w:szCs w:val="24"/>
        </w:rPr>
        <w:t>Чекушкина</w:t>
      </w:r>
      <w:proofErr w:type="spellEnd"/>
      <w:r w:rsidRPr="00DE5A7F">
        <w:rPr>
          <w:rFonts w:ascii="Times New Roman" w:hAnsi="Times New Roman" w:cs="Times New Roman"/>
          <w:iCs/>
          <w:sz w:val="24"/>
          <w:szCs w:val="24"/>
        </w:rPr>
        <w:t>//</w:t>
      </w:r>
      <w:hyperlink r:id="rId6" w:history="1">
        <w:r w:rsidRPr="00DE5A7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Журнал монетарной экономики и менеджмента</w:t>
        </w:r>
      </w:hyperlink>
      <w:r w:rsidRPr="00DE5A7F">
        <w:rPr>
          <w:rFonts w:ascii="Times New Roman" w:hAnsi="Times New Roman" w:cs="Times New Roman"/>
          <w:sz w:val="24"/>
          <w:szCs w:val="24"/>
        </w:rPr>
        <w:t xml:space="preserve">. – 2025. – </w:t>
      </w:r>
      <w:hyperlink r:id="rId7" w:history="1">
        <w:r w:rsidRPr="00DE5A7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№ 8</w:t>
        </w:r>
      </w:hyperlink>
      <w:r w:rsidRPr="00DE5A7F">
        <w:rPr>
          <w:rFonts w:ascii="Times New Roman" w:hAnsi="Times New Roman" w:cs="Times New Roman"/>
          <w:sz w:val="24"/>
          <w:szCs w:val="24"/>
        </w:rPr>
        <w:t>. – С. 105-111.</w:t>
      </w:r>
    </w:p>
    <w:p w:rsidR="00DE5A7F" w:rsidRDefault="00DE5A7F" w:rsidP="004C4F92">
      <w:pPr>
        <w:spacing w:after="0" w:line="240" w:lineRule="auto"/>
        <w:ind w:firstLine="709"/>
      </w:pPr>
    </w:p>
    <w:sectPr w:rsidR="00DE5A7F" w:rsidSect="004C4F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BAA"/>
    <w:multiLevelType w:val="multilevel"/>
    <w:tmpl w:val="847648A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42FE3"/>
    <w:multiLevelType w:val="multilevel"/>
    <w:tmpl w:val="887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12620"/>
    <w:multiLevelType w:val="hybridMultilevel"/>
    <w:tmpl w:val="BC1644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54978D1"/>
    <w:multiLevelType w:val="multilevel"/>
    <w:tmpl w:val="5F6E759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73157"/>
    <w:multiLevelType w:val="multilevel"/>
    <w:tmpl w:val="0B30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B6009"/>
    <w:multiLevelType w:val="multilevel"/>
    <w:tmpl w:val="09B8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B4E71"/>
    <w:multiLevelType w:val="hybridMultilevel"/>
    <w:tmpl w:val="2214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4F92"/>
    <w:rsid w:val="00010313"/>
    <w:rsid w:val="0001188F"/>
    <w:rsid w:val="0001391A"/>
    <w:rsid w:val="00024618"/>
    <w:rsid w:val="00033E28"/>
    <w:rsid w:val="00034F5D"/>
    <w:rsid w:val="000501BD"/>
    <w:rsid w:val="00056291"/>
    <w:rsid w:val="00073521"/>
    <w:rsid w:val="000809BF"/>
    <w:rsid w:val="00082EE1"/>
    <w:rsid w:val="00083478"/>
    <w:rsid w:val="000866B3"/>
    <w:rsid w:val="00093687"/>
    <w:rsid w:val="000968CA"/>
    <w:rsid w:val="00096CCE"/>
    <w:rsid w:val="000A1858"/>
    <w:rsid w:val="000A2DE4"/>
    <w:rsid w:val="000B09C2"/>
    <w:rsid w:val="000C6E81"/>
    <w:rsid w:val="000E2192"/>
    <w:rsid w:val="000E2297"/>
    <w:rsid w:val="000E3FFC"/>
    <w:rsid w:val="000E4EA4"/>
    <w:rsid w:val="000E5223"/>
    <w:rsid w:val="000F19AA"/>
    <w:rsid w:val="000F465A"/>
    <w:rsid w:val="000F68C6"/>
    <w:rsid w:val="00103D92"/>
    <w:rsid w:val="0010508E"/>
    <w:rsid w:val="00105A21"/>
    <w:rsid w:val="0011018F"/>
    <w:rsid w:val="0011678D"/>
    <w:rsid w:val="00126D8E"/>
    <w:rsid w:val="00134373"/>
    <w:rsid w:val="00150E12"/>
    <w:rsid w:val="0016241B"/>
    <w:rsid w:val="00183E9C"/>
    <w:rsid w:val="00184316"/>
    <w:rsid w:val="0018669E"/>
    <w:rsid w:val="001A041C"/>
    <w:rsid w:val="001A577D"/>
    <w:rsid w:val="001B3FE8"/>
    <w:rsid w:val="001C0836"/>
    <w:rsid w:val="001C7107"/>
    <w:rsid w:val="001D0502"/>
    <w:rsid w:val="001D3BD9"/>
    <w:rsid w:val="001D53F5"/>
    <w:rsid w:val="00201113"/>
    <w:rsid w:val="0021014F"/>
    <w:rsid w:val="002221AF"/>
    <w:rsid w:val="002257FD"/>
    <w:rsid w:val="00242E5C"/>
    <w:rsid w:val="00247BC0"/>
    <w:rsid w:val="00250CAB"/>
    <w:rsid w:val="002515A6"/>
    <w:rsid w:val="00267DF8"/>
    <w:rsid w:val="00273A00"/>
    <w:rsid w:val="002766A6"/>
    <w:rsid w:val="0028695D"/>
    <w:rsid w:val="002877C1"/>
    <w:rsid w:val="00287A62"/>
    <w:rsid w:val="00287C15"/>
    <w:rsid w:val="002B65B9"/>
    <w:rsid w:val="002C6E38"/>
    <w:rsid w:val="002D6C99"/>
    <w:rsid w:val="002E43FB"/>
    <w:rsid w:val="002F3240"/>
    <w:rsid w:val="00301F4E"/>
    <w:rsid w:val="0030453E"/>
    <w:rsid w:val="00306CD4"/>
    <w:rsid w:val="00311E13"/>
    <w:rsid w:val="00314343"/>
    <w:rsid w:val="0031646B"/>
    <w:rsid w:val="0032014C"/>
    <w:rsid w:val="003220C7"/>
    <w:rsid w:val="00327C99"/>
    <w:rsid w:val="00347EBC"/>
    <w:rsid w:val="003611DC"/>
    <w:rsid w:val="00362A0E"/>
    <w:rsid w:val="00367617"/>
    <w:rsid w:val="00372F0E"/>
    <w:rsid w:val="003747C7"/>
    <w:rsid w:val="0038004F"/>
    <w:rsid w:val="00384351"/>
    <w:rsid w:val="00386B3E"/>
    <w:rsid w:val="00395190"/>
    <w:rsid w:val="003A2AD0"/>
    <w:rsid w:val="003A4CD0"/>
    <w:rsid w:val="003A7631"/>
    <w:rsid w:val="003B0EF9"/>
    <w:rsid w:val="003C107A"/>
    <w:rsid w:val="003C107B"/>
    <w:rsid w:val="003C51AD"/>
    <w:rsid w:val="003D6AA4"/>
    <w:rsid w:val="003E0CB5"/>
    <w:rsid w:val="003E3618"/>
    <w:rsid w:val="003E6075"/>
    <w:rsid w:val="003F313E"/>
    <w:rsid w:val="004034C5"/>
    <w:rsid w:val="004042EA"/>
    <w:rsid w:val="004103B0"/>
    <w:rsid w:val="00421B78"/>
    <w:rsid w:val="00433034"/>
    <w:rsid w:val="00434C50"/>
    <w:rsid w:val="00447954"/>
    <w:rsid w:val="00450A1D"/>
    <w:rsid w:val="004609F9"/>
    <w:rsid w:val="0048439A"/>
    <w:rsid w:val="0048639E"/>
    <w:rsid w:val="00492E3E"/>
    <w:rsid w:val="004931C5"/>
    <w:rsid w:val="00493F8F"/>
    <w:rsid w:val="004A498C"/>
    <w:rsid w:val="004A4FB0"/>
    <w:rsid w:val="004C4F92"/>
    <w:rsid w:val="004C5F40"/>
    <w:rsid w:val="004D367D"/>
    <w:rsid w:val="004D63E0"/>
    <w:rsid w:val="004E450F"/>
    <w:rsid w:val="004E50AB"/>
    <w:rsid w:val="00507A59"/>
    <w:rsid w:val="00513448"/>
    <w:rsid w:val="00550BCD"/>
    <w:rsid w:val="005569E0"/>
    <w:rsid w:val="00561978"/>
    <w:rsid w:val="00561BB0"/>
    <w:rsid w:val="00562537"/>
    <w:rsid w:val="00572D85"/>
    <w:rsid w:val="005764E5"/>
    <w:rsid w:val="00597A6A"/>
    <w:rsid w:val="005A0328"/>
    <w:rsid w:val="005A0887"/>
    <w:rsid w:val="005A1549"/>
    <w:rsid w:val="005C009E"/>
    <w:rsid w:val="005C0158"/>
    <w:rsid w:val="005D26C9"/>
    <w:rsid w:val="005F0E24"/>
    <w:rsid w:val="00604CBE"/>
    <w:rsid w:val="00607C57"/>
    <w:rsid w:val="006360DB"/>
    <w:rsid w:val="00651D9A"/>
    <w:rsid w:val="0065266A"/>
    <w:rsid w:val="00652A37"/>
    <w:rsid w:val="00657B07"/>
    <w:rsid w:val="00666A36"/>
    <w:rsid w:val="00676771"/>
    <w:rsid w:val="0068125E"/>
    <w:rsid w:val="00694072"/>
    <w:rsid w:val="00696ECB"/>
    <w:rsid w:val="006A5160"/>
    <w:rsid w:val="006B2FE9"/>
    <w:rsid w:val="006C4616"/>
    <w:rsid w:val="006D6240"/>
    <w:rsid w:val="006D69A2"/>
    <w:rsid w:val="006E47B5"/>
    <w:rsid w:val="007011C2"/>
    <w:rsid w:val="00705012"/>
    <w:rsid w:val="00720187"/>
    <w:rsid w:val="00723427"/>
    <w:rsid w:val="007268E3"/>
    <w:rsid w:val="00726ECA"/>
    <w:rsid w:val="0072783B"/>
    <w:rsid w:val="00736680"/>
    <w:rsid w:val="0074597D"/>
    <w:rsid w:val="00750066"/>
    <w:rsid w:val="00753E15"/>
    <w:rsid w:val="00761436"/>
    <w:rsid w:val="00765210"/>
    <w:rsid w:val="007853D8"/>
    <w:rsid w:val="00790A0B"/>
    <w:rsid w:val="00794899"/>
    <w:rsid w:val="00794E3F"/>
    <w:rsid w:val="007A5250"/>
    <w:rsid w:val="007A5609"/>
    <w:rsid w:val="007C42B2"/>
    <w:rsid w:val="007C6A12"/>
    <w:rsid w:val="007D03FD"/>
    <w:rsid w:val="007D1083"/>
    <w:rsid w:val="007D570D"/>
    <w:rsid w:val="007E2E5D"/>
    <w:rsid w:val="007F3A23"/>
    <w:rsid w:val="007F4BC4"/>
    <w:rsid w:val="008012E0"/>
    <w:rsid w:val="008116CF"/>
    <w:rsid w:val="00814B88"/>
    <w:rsid w:val="00840288"/>
    <w:rsid w:val="00844C20"/>
    <w:rsid w:val="00881102"/>
    <w:rsid w:val="008907A7"/>
    <w:rsid w:val="00892BAC"/>
    <w:rsid w:val="00892C8D"/>
    <w:rsid w:val="008943C0"/>
    <w:rsid w:val="008A62D1"/>
    <w:rsid w:val="008B4AB8"/>
    <w:rsid w:val="008C4A52"/>
    <w:rsid w:val="008E0914"/>
    <w:rsid w:val="008E5582"/>
    <w:rsid w:val="00911AF2"/>
    <w:rsid w:val="00912FA9"/>
    <w:rsid w:val="00931D7C"/>
    <w:rsid w:val="00941B43"/>
    <w:rsid w:val="009509F0"/>
    <w:rsid w:val="00950F31"/>
    <w:rsid w:val="0096101E"/>
    <w:rsid w:val="00966FC1"/>
    <w:rsid w:val="0097428E"/>
    <w:rsid w:val="00977A06"/>
    <w:rsid w:val="00982386"/>
    <w:rsid w:val="00986B94"/>
    <w:rsid w:val="009A1648"/>
    <w:rsid w:val="009B0995"/>
    <w:rsid w:val="009B32FC"/>
    <w:rsid w:val="009B432B"/>
    <w:rsid w:val="009B77D4"/>
    <w:rsid w:val="009C05EE"/>
    <w:rsid w:val="009C5251"/>
    <w:rsid w:val="009D3FE9"/>
    <w:rsid w:val="009E1426"/>
    <w:rsid w:val="009E46FE"/>
    <w:rsid w:val="009E6B87"/>
    <w:rsid w:val="009F4B32"/>
    <w:rsid w:val="009F50A4"/>
    <w:rsid w:val="00A01380"/>
    <w:rsid w:val="00A05EA7"/>
    <w:rsid w:val="00A1491A"/>
    <w:rsid w:val="00A17D35"/>
    <w:rsid w:val="00A202B3"/>
    <w:rsid w:val="00A26AEE"/>
    <w:rsid w:val="00A279C0"/>
    <w:rsid w:val="00A50F24"/>
    <w:rsid w:val="00A53D25"/>
    <w:rsid w:val="00A541AC"/>
    <w:rsid w:val="00A54E52"/>
    <w:rsid w:val="00A70A48"/>
    <w:rsid w:val="00A711D6"/>
    <w:rsid w:val="00A750E1"/>
    <w:rsid w:val="00A776A5"/>
    <w:rsid w:val="00A847D8"/>
    <w:rsid w:val="00A84E9C"/>
    <w:rsid w:val="00A8595B"/>
    <w:rsid w:val="00A940D5"/>
    <w:rsid w:val="00A96300"/>
    <w:rsid w:val="00A964AD"/>
    <w:rsid w:val="00AB03BF"/>
    <w:rsid w:val="00AB714C"/>
    <w:rsid w:val="00AC2FE7"/>
    <w:rsid w:val="00AC5082"/>
    <w:rsid w:val="00AC706D"/>
    <w:rsid w:val="00AD0E12"/>
    <w:rsid w:val="00AD641E"/>
    <w:rsid w:val="00AF6C1B"/>
    <w:rsid w:val="00AF79E4"/>
    <w:rsid w:val="00B02900"/>
    <w:rsid w:val="00B06F6B"/>
    <w:rsid w:val="00B12D61"/>
    <w:rsid w:val="00B17B9A"/>
    <w:rsid w:val="00B24B36"/>
    <w:rsid w:val="00B262D0"/>
    <w:rsid w:val="00B407AE"/>
    <w:rsid w:val="00B4460D"/>
    <w:rsid w:val="00B4530D"/>
    <w:rsid w:val="00B54321"/>
    <w:rsid w:val="00B576CE"/>
    <w:rsid w:val="00B70CF0"/>
    <w:rsid w:val="00B714CB"/>
    <w:rsid w:val="00B71B77"/>
    <w:rsid w:val="00B80690"/>
    <w:rsid w:val="00B879AF"/>
    <w:rsid w:val="00B90A68"/>
    <w:rsid w:val="00B92B9A"/>
    <w:rsid w:val="00B940F6"/>
    <w:rsid w:val="00B95DCA"/>
    <w:rsid w:val="00BA1A10"/>
    <w:rsid w:val="00BB508E"/>
    <w:rsid w:val="00BD72B5"/>
    <w:rsid w:val="00BF2454"/>
    <w:rsid w:val="00BF5EA1"/>
    <w:rsid w:val="00BF6CE0"/>
    <w:rsid w:val="00C036C7"/>
    <w:rsid w:val="00C06AAD"/>
    <w:rsid w:val="00C100BD"/>
    <w:rsid w:val="00C11365"/>
    <w:rsid w:val="00C11680"/>
    <w:rsid w:val="00C254ED"/>
    <w:rsid w:val="00C26404"/>
    <w:rsid w:val="00C327E2"/>
    <w:rsid w:val="00C51D22"/>
    <w:rsid w:val="00C55547"/>
    <w:rsid w:val="00C61A44"/>
    <w:rsid w:val="00C71DCB"/>
    <w:rsid w:val="00C72083"/>
    <w:rsid w:val="00C74785"/>
    <w:rsid w:val="00C86C4C"/>
    <w:rsid w:val="00C90D02"/>
    <w:rsid w:val="00CA2A02"/>
    <w:rsid w:val="00CA4BFF"/>
    <w:rsid w:val="00CB24CE"/>
    <w:rsid w:val="00CC1C3E"/>
    <w:rsid w:val="00CC75BC"/>
    <w:rsid w:val="00CD381F"/>
    <w:rsid w:val="00CD4431"/>
    <w:rsid w:val="00CD57CB"/>
    <w:rsid w:val="00CD647D"/>
    <w:rsid w:val="00CD6809"/>
    <w:rsid w:val="00CE2E2A"/>
    <w:rsid w:val="00CF05FB"/>
    <w:rsid w:val="00CF3360"/>
    <w:rsid w:val="00CF4319"/>
    <w:rsid w:val="00CF7B3A"/>
    <w:rsid w:val="00D0263C"/>
    <w:rsid w:val="00D104E1"/>
    <w:rsid w:val="00D21D8C"/>
    <w:rsid w:val="00D411D6"/>
    <w:rsid w:val="00D445FD"/>
    <w:rsid w:val="00D45AAB"/>
    <w:rsid w:val="00D537B1"/>
    <w:rsid w:val="00D53D48"/>
    <w:rsid w:val="00D63C83"/>
    <w:rsid w:val="00D642D6"/>
    <w:rsid w:val="00D64AA2"/>
    <w:rsid w:val="00D75AAE"/>
    <w:rsid w:val="00D76F5A"/>
    <w:rsid w:val="00D91FC8"/>
    <w:rsid w:val="00D94CD8"/>
    <w:rsid w:val="00DA60DE"/>
    <w:rsid w:val="00DB7D30"/>
    <w:rsid w:val="00DC6B0E"/>
    <w:rsid w:val="00DD574B"/>
    <w:rsid w:val="00DE31E6"/>
    <w:rsid w:val="00DE5A7F"/>
    <w:rsid w:val="00DF77C0"/>
    <w:rsid w:val="00E01834"/>
    <w:rsid w:val="00E02164"/>
    <w:rsid w:val="00E02F5A"/>
    <w:rsid w:val="00E06C4E"/>
    <w:rsid w:val="00E07D1F"/>
    <w:rsid w:val="00E211DB"/>
    <w:rsid w:val="00E231DF"/>
    <w:rsid w:val="00E30374"/>
    <w:rsid w:val="00E40E4A"/>
    <w:rsid w:val="00E415F0"/>
    <w:rsid w:val="00E41ECE"/>
    <w:rsid w:val="00E50B6D"/>
    <w:rsid w:val="00E519BC"/>
    <w:rsid w:val="00E53ACC"/>
    <w:rsid w:val="00E573DC"/>
    <w:rsid w:val="00E65999"/>
    <w:rsid w:val="00E671B6"/>
    <w:rsid w:val="00E679C9"/>
    <w:rsid w:val="00E83135"/>
    <w:rsid w:val="00E969B5"/>
    <w:rsid w:val="00EB25F2"/>
    <w:rsid w:val="00EB7308"/>
    <w:rsid w:val="00EC6986"/>
    <w:rsid w:val="00ED0B11"/>
    <w:rsid w:val="00EE1541"/>
    <w:rsid w:val="00EF3BC8"/>
    <w:rsid w:val="00EF48D4"/>
    <w:rsid w:val="00F0295E"/>
    <w:rsid w:val="00F111D4"/>
    <w:rsid w:val="00F14E3B"/>
    <w:rsid w:val="00F20F71"/>
    <w:rsid w:val="00F26A0D"/>
    <w:rsid w:val="00F33A2A"/>
    <w:rsid w:val="00F3776B"/>
    <w:rsid w:val="00F53BC1"/>
    <w:rsid w:val="00F5636F"/>
    <w:rsid w:val="00F6168E"/>
    <w:rsid w:val="00F73F21"/>
    <w:rsid w:val="00F857BC"/>
    <w:rsid w:val="00F907E6"/>
    <w:rsid w:val="00F9190E"/>
    <w:rsid w:val="00F95873"/>
    <w:rsid w:val="00FB0CCA"/>
    <w:rsid w:val="00FD27E9"/>
    <w:rsid w:val="00FD42CF"/>
    <w:rsid w:val="00FE0919"/>
    <w:rsid w:val="00FE1187"/>
    <w:rsid w:val="00FE1A25"/>
    <w:rsid w:val="00FE2716"/>
    <w:rsid w:val="00FE51CC"/>
    <w:rsid w:val="00F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CE"/>
  </w:style>
  <w:style w:type="paragraph" w:styleId="3">
    <w:name w:val="heading 3"/>
    <w:basedOn w:val="a"/>
    <w:link w:val="30"/>
    <w:uiPriority w:val="9"/>
    <w:qFormat/>
    <w:rsid w:val="004C4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4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4F92"/>
    <w:rPr>
      <w:b/>
      <w:bCs/>
    </w:rPr>
  </w:style>
  <w:style w:type="paragraph" w:styleId="a4">
    <w:name w:val="List Paragraph"/>
    <w:basedOn w:val="a"/>
    <w:link w:val="a5"/>
    <w:uiPriority w:val="34"/>
    <w:qFormat/>
    <w:rsid w:val="00DE5A7F"/>
    <w:pPr>
      <w:ind w:left="720"/>
      <w:contextualSpacing/>
    </w:pPr>
    <w:rPr>
      <w:rFonts w:eastAsiaTheme="minorEastAsia"/>
      <w:lang w:eastAsia="ru-RU"/>
    </w:rPr>
  </w:style>
  <w:style w:type="character" w:styleId="a6">
    <w:name w:val="FollowedHyperlink"/>
    <w:basedOn w:val="a0"/>
    <w:uiPriority w:val="99"/>
    <w:semiHidden/>
    <w:unhideWhenUsed/>
    <w:rsid w:val="00DE5A7F"/>
    <w:rPr>
      <w:color w:val="800080"/>
      <w:u w:val="single"/>
    </w:rPr>
  </w:style>
  <w:style w:type="character" w:customStyle="1" w:styleId="a5">
    <w:name w:val="Абзац списка Знак"/>
    <w:link w:val="a4"/>
    <w:uiPriority w:val="99"/>
    <w:locked/>
    <w:rsid w:val="00DE5A7F"/>
    <w:rPr>
      <w:rFonts w:eastAsiaTheme="minorEastAsia"/>
      <w:lang w:eastAsia="ru-RU"/>
    </w:rPr>
  </w:style>
  <w:style w:type="paragraph" w:customStyle="1" w:styleId="1">
    <w:name w:val="Обычный1"/>
    <w:rsid w:val="00DE5A7F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DE5A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83202951&amp;selid=832029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83202951" TargetMode="External"/><Relationship Id="rId5" Type="http://schemas.openxmlformats.org/officeDocument/2006/relationships/hyperlink" Target="http://www.consultant.ru/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УлГУ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Image&amp;Matros ®</cp:lastModifiedBy>
  <cp:revision>2</cp:revision>
  <dcterms:created xsi:type="dcterms:W3CDTF">2026-04-06T16:32:00Z</dcterms:created>
  <dcterms:modified xsi:type="dcterms:W3CDTF">2026-04-06T16:32:00Z</dcterms:modified>
</cp:coreProperties>
</file>