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E7" w:rsidRPr="008C05E7" w:rsidRDefault="008C05E7" w:rsidP="008C0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C05E7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Региональная экономика России: выход на границу производственных возможностей или временное торможение?</w:t>
      </w:r>
    </w:p>
    <w:p w:rsidR="008C05E7" w:rsidRPr="008C05E7" w:rsidRDefault="008C05E7" w:rsidP="008C0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C05E7">
        <w:rPr>
          <w:rFonts w:ascii="Times New Roman" w:hAnsi="Times New Roman" w:cs="Times New Roman"/>
          <w:sz w:val="24"/>
          <w:szCs w:val="24"/>
          <w:lang w:val="ru-RU"/>
        </w:rPr>
        <w:t xml:space="preserve">Безуглая Ольга Анатольевна </w:t>
      </w:r>
    </w:p>
    <w:p w:rsidR="008C05E7" w:rsidRPr="008C05E7" w:rsidRDefault="008C05E7" w:rsidP="008C05E7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 w:rsidRPr="008C05E7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Лапин Анатолий Евгеньевич </w:t>
      </w:r>
    </w:p>
    <w:p w:rsidR="008C05E7" w:rsidRPr="008C05E7" w:rsidRDefault="008C05E7" w:rsidP="008C05E7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 w:rsidRPr="008C05E7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Научный руководитель, профессор </w:t>
      </w:r>
      <w:proofErr w:type="spellStart"/>
      <w:r w:rsidRPr="008C05E7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зав</w:t>
      </w:r>
      <w:proofErr w:type="gramStart"/>
      <w:r w:rsidRPr="008C05E7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Pr="008C05E7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афедрой</w:t>
      </w:r>
      <w:proofErr w:type="spellEnd"/>
      <w:r w:rsidRPr="008C05E7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C05E7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ЭАиГУ</w:t>
      </w:r>
      <w:proofErr w:type="spellEnd"/>
    </w:p>
    <w:p w:rsidR="008C05E7" w:rsidRPr="008C05E7" w:rsidRDefault="008C05E7" w:rsidP="008C05E7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  <w:r w:rsidRPr="008C05E7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Бизнес - факультет </w:t>
      </w:r>
    </w:p>
    <w:p w:rsidR="008C05E7" w:rsidRPr="008C05E7" w:rsidRDefault="008C05E7" w:rsidP="008C0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C05E7" w:rsidRPr="008C05E7" w:rsidRDefault="008C05E7" w:rsidP="008C05E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05E7">
        <w:rPr>
          <w:rFonts w:ascii="Times New Roman" w:hAnsi="Times New Roman" w:cs="Times New Roman"/>
          <w:sz w:val="24"/>
          <w:szCs w:val="24"/>
          <w:lang w:val="ru-RU"/>
        </w:rPr>
        <w:tab/>
        <w:t>Ключевые слова: экономика, региональная экономика, государственные и муниципальные услуги, граница производственных возможностей.</w:t>
      </w:r>
    </w:p>
    <w:p w:rsidR="008C05E7" w:rsidRPr="008C05E7" w:rsidRDefault="008C05E7" w:rsidP="008C05E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5E7" w:rsidRPr="008C05E7" w:rsidRDefault="008C05E7" w:rsidP="008C05E7">
      <w:pPr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Обсуждение современного состояния региональной экономики России в последнее время всё чаще обращается к двум контрастным оценкам. С одной стороны, перед нами — экономика, которая успешно адаптируется к новым условиям, демонстрирует рост и укрепляет финансовую самостоятельность, а с другой — экономика, исчерпавшая ресурс экстенсивного развития, что упирается на 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увеличение объёмов производства за счёт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8C05E7">
        <w:rPr>
          <w:rStyle w:val="a8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количественного наращивания факторов производства и</w:t>
      </w: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столкнувшаяся с новыми структурными ограничениями. Вопрос в том, с каким из этих сценариев Российская экономика имеет дело. 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3964FE"/>
          <w:sz w:val="24"/>
          <w:szCs w:val="24"/>
          <w:bdr w:val="single" w:sz="12" w:space="0" w:color="auto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Российская экономика в 2025–2026 годах вступила в фазу сдержанного развития. </w:t>
      </w:r>
      <w:proofErr w:type="gram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После двух лет стремительного роста в 2023–2024 годах, когда суммарный рост превысил 4% в год, темпы экономической активности начали замедляться</w:t>
      </w:r>
      <w:hyperlink r:id="rId6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При этом 79 из 89 российских регионов по итогам 2025 года нарастили валовый региональный продукт (ВРП), что указывает на сохранение общего тренда на экономический рост</w:t>
      </w:r>
      <w:hyperlink r:id="rId7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Однако за усредненными показателями скрывается неоднозначная картина региональных трендов.</w:t>
      </w:r>
      <w:proofErr w:type="gram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В одних субъектах драйвером остаются госзаказ и экспорт, в других — производство тормозят санкции и дефицит кадров. 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Ключевой индикатор — загрузка производственных мощностей — в третьем квартале 2025 года составила 78%. Этот уровень ниже исторических максимумов 2023–2024 годов, но заметно выше средних значений 2017–2019 годов, когда наблюдался сбалансированный ро</w:t>
      </w:r>
      <w:proofErr w:type="gram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ст спр</w:t>
      </w:r>
      <w:proofErr w:type="gram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оса и предложения</w:t>
      </w:r>
      <w:hyperlink r:id="rId8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Таким образом, экономика не демонстрирует явного спада, но и не возвращается к докризисной модели. Происходит переход к новому качеству развития.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Центральный тезис о выходе на границу производственных возможностей подтверждается лишь частично. Уровень загрузки мощностей в 78% ниже пиковых значений 2023–2024 годов, что свидетельствует о постепенном выходе из состояния перегрева и возвращении к балансу, когда ро</w:t>
      </w:r>
      <w:proofErr w:type="gram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ст спр</w:t>
      </w:r>
      <w:proofErr w:type="gram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оса соразмерен возможностям по увеличению предложения</w:t>
      </w:r>
      <w:hyperlink r:id="rId9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Однако это снижение — не повод для тревоги, а скорее признак нормализации экономической динамики.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proofErr w:type="gram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Значительные отраслевые и региональные различия подтверждают сложность общей картины</w:t>
      </w:r>
      <w:hyperlink r:id="rId10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Увеличение производства наблюдается в судостроении и деревообработке на Северо-Западе, в добыче полезных ископаемых в Уральском, Сибирском и Дальневосточном федеральных округах</w:t>
      </w:r>
      <w:hyperlink r:id="rId11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При этом в автомобильной промышленности Поволжья продолжается сокращение выпуска, а спрос на продукцию чёрной металлургии остаётся низким из-за слабых объёмов в машиностроении</w:t>
      </w:r>
      <w:hyperlink r:id="rId12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Таким образом, говорить о едином «выходе на границу» для</w:t>
      </w:r>
      <w:proofErr w:type="gram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всей страны некорректно — скорее, происходит структурная перестройка промышленности с ярко выраженными региональными особенностями.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Эксперты сходятся во мнении, что в 2025 году российская промышленность активно расширяла производственные мощности, открывались новые заводы, цеха и технологические площадки. Однако дефицит кадров и высокая стоимость заёмных сре</w:t>
      </w:r>
      <w:proofErr w:type="gram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дств ст</w:t>
      </w:r>
      <w:proofErr w:type="gram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ановятся системными ограничениями, тормозящими развитие</w:t>
      </w:r>
      <w:hyperlink r:id="rId13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Парадоксальным образом именно в секторе государственных и муниципальных услуг наблюдается не торможение, а ускоренное развитие. Внедрение Информационно-аналитической системы мониторинга качества государственных услуг (ИАС МКГУ) </w:t>
      </w: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lastRenderedPageBreak/>
        <w:t>позволило охватить мониторингом все сервисы в стране, анализируя более 20 показателей: отказы, просрочки, технические ошибки, уровень жалоб и удовлетворённости</w:t>
      </w:r>
      <w:hyperlink r:id="rId14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. 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Поставленные целевые показатели также демонстрируют устойчивый рост: уровень удовлетворённости граждан качеством государственных и муниципальных услуг повысился с 91,0% в 2023 году до 92,0% в 2025 году, с планом достичь 95,0% к 2035 году</w:t>
      </w:r>
      <w:hyperlink r:id="rId15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Доля граждан, имеющих доступ к услугам по принципу «одного окна», стабильно сохраняется на уровне 90,0%</w:t>
      </w:r>
      <w:hyperlink r:id="rId16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В июне 2025 года правительство РФ запустило эксперимент по повышению качества предоставления государственных и муниципальных услуг в рамках инициативы «Государство для людей». Это указывает на то, что сектор находится в фазе активной трансформации, а не временного торможения. </w:t>
      </w:r>
      <w:proofErr w:type="spell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Цифровизация</w:t>
      </w:r>
      <w:proofErr w:type="spell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и персонализация услуг становятся приоритетом.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Финансовое положение регионов в 2025 году х</w:t>
      </w:r>
      <w:bookmarkStart w:id="0" w:name="_GoBack"/>
      <w:bookmarkEnd w:id="0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арактеризуется противоречивыми тенденциями. С одной стороны, доля трансфертов из федеральной казны в общем объёме доходов консолидированных бюджетов снизилась до 14,9% — самого низкого показателя с 2019 года, что говорит о растущей финансовой самостоятельности субъектов</w:t>
      </w:r>
      <w:hyperlink r:id="rId17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. Доходы регионов за первое полугодие 2025 года выросли на 2,1%, достигнув 10,1 </w:t>
      </w:r>
      <w:proofErr w:type="gram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трлн</w:t>
      </w:r>
      <w:proofErr w:type="gram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рублей, прежде всего за счёт налоговых и неналоговых поступлений</w:t>
      </w:r>
      <w:hyperlink r:id="rId18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Особенно заметен рост НДФЛ (+10,3%) благодаря увеличению фонда оплаты труда и доходов граждан</w:t>
      </w:r>
      <w:hyperlink r:id="rId19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С другой стороны, расходы регионов выросли значительно быстрее — на 14,9%, до 10,5 </w:t>
      </w:r>
      <w:proofErr w:type="gram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трлн</w:t>
      </w:r>
      <w:proofErr w:type="gram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рублей, что привело к совокупному дефициту почти в 394 млрд рублей. Государственный долг субъектов увеличился до 3,27 </w:t>
      </w:r>
      <w:proofErr w:type="gram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трлн</w:t>
      </w:r>
      <w:proofErr w:type="gram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рублей</w:t>
      </w:r>
      <w:hyperlink r:id="rId20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Ситуация сложилась достаточно напряжённая, но в целом идущую с ростом доходов</w:t>
      </w:r>
      <w:hyperlink r:id="rId21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Принятие бюджетов на 2026 год показало дефицит почти у всех регионов — суммарный дефицит дефицитных регионов по итогам 11 месяцев достиг беспрецедентных 800 </w:t>
      </w:r>
      <w:proofErr w:type="gram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млрд</w:t>
      </w:r>
      <w:proofErr w:type="gram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рублей</w:t>
      </w:r>
      <w:hyperlink r:id="rId22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. При этом программа списания задолженности регионов продолжилась: в 2025 году объем списанной задолженности составил 227 млрд рублей, а на 2026 год предусмотрены межбюджетные трансферты в объёме 3,6 трлн рублей, из которых более 1 трлн рублей — на реализацию национальных проектов. 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Разрыв между регионами-лидерами и регионами-аутсайдерами продолжает усиливаться. По итогам 2025 года наиболее высокий темп роста ВРП ожидается на Чукотке (20,8%), в Калужской области (7,7%) и Республике Адыгея (7,3%)</w:t>
      </w:r>
      <w:hyperlink r:id="rId23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В среднесрочной перспективе (2026–2028 годы) лидером станет Амурская область со среднегодовым приростом ВРП в 7,7% благодаря развитию крупных обрабатывающих производств, включая Амурский газоперерабатывающий комплекс</w:t>
      </w:r>
      <w:hyperlink r:id="rId24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Аутсайдерами в 2025 году стали Кемеровская область (-4,1%), Республика Коми (-3,3%) и Красноярский край (-2,5%)</w:t>
      </w:r>
      <w:hyperlink r:id="rId25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В трехлетней перспективе падение прогнозируется только для Астраханской области (-2,1% ежегодно), что связано с сокращением объема добычи полезных ископаемых</w:t>
      </w:r>
      <w:hyperlink r:id="rId26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Околонулевое</w:t>
      </w:r>
      <w:proofErr w:type="spell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увеличение ожидается в Коми (0,1%) и Чечне (0,3%)</w:t>
      </w:r>
      <w:hyperlink r:id="rId27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Эксперты прогнозирует, что социально-экономическая динамика регионов в 2026 году останется сдержанно позитивной, но неоднородной</w:t>
      </w:r>
      <w:hyperlink r:id="rId28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Ключевым преимуществом для регионов станут диверсификация экономики и способность сочетать государственную поддержку с собственной инвестиционной политикой</w:t>
      </w:r>
      <w:hyperlink r:id="rId29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 Инфляция к концу 2026 года может замедлиться до 4,8%</w:t>
      </w:r>
      <w:hyperlink r:id="rId30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, что создаст более предсказуемую среду для бизнеса и региональных властей.</w:t>
      </w:r>
    </w:p>
    <w:p w:rsidR="008C05E7" w:rsidRPr="008C05E7" w:rsidRDefault="008C05E7" w:rsidP="008C05E7">
      <w:pPr>
        <w:ind w:firstLine="708"/>
        <w:jc w:val="center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</w:p>
    <w:p w:rsidR="008C05E7" w:rsidRPr="008C05E7" w:rsidRDefault="008C05E7" w:rsidP="008C05E7">
      <w:pPr>
        <w:ind w:firstLine="708"/>
        <w:jc w:val="center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***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Современное состояние региональной экономики России не укладывается в прокрустово ложе простых формулировок. Не наблюдается ни тотального выхода на границу производственных возможностей, ни повсеместного торможения. Вместо этого происходит</w:t>
      </w: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 </w:t>
      </w:r>
      <w:r w:rsidRPr="008C05E7">
        <w:rPr>
          <w:rStyle w:val="a8"/>
          <w:rFonts w:ascii="Times New Roman" w:eastAsia="Segoe UI" w:hAnsi="Times New Roman" w:cs="Times New Roman"/>
          <w:b w:val="0"/>
          <w:bCs w:val="0"/>
          <w:color w:val="0F1115"/>
          <w:sz w:val="24"/>
          <w:szCs w:val="24"/>
          <w:shd w:val="clear" w:color="auto" w:fill="FFFFFF"/>
          <w:lang w:val="ru-RU"/>
        </w:rPr>
        <w:t>дифференцированная адаптация</w:t>
      </w: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: одни регионы и отрасли действительно </w:t>
      </w: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lastRenderedPageBreak/>
        <w:t>приближаются к пределам своего потенциала, другие — перестраиваются, третьи — продолжают активный рост.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Сектор государственных и муниципальных услуг, вопреки опасениям, демонстрирует не торможение, а ускоренную трансформацию. </w:t>
      </w:r>
      <w:proofErr w:type="spell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Цифровизация</w:t>
      </w:r>
      <w:proofErr w:type="spell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, внедрение систем мониторинга качества и обратной связи, эксперименты с новыми форматами предоставления услуг свидетельствуют о системной работе по повышению их эффективности.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Бюджетная сфера остаётся зоной повышенного риска. Рост самостоятельности регионов — </w:t>
      </w:r>
      <w:proofErr w:type="gramStart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безусловно</w:t>
      </w:r>
      <w:proofErr w:type="gramEnd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 позитивный тренд, однако он сопровождается нарастанием дефицитов и долговой нагрузки. Сохранение социальных обязательств и реализация национальных проектов требуют взвешенной долговой политики и адресной поддержки со стороны федерального центра</w:t>
      </w:r>
      <w:hyperlink r:id="rId31" w:tgtFrame="https://chat.deepseek.com/a/chat/s/_blank" w:history="1"/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>Таким образом, ответ на вопрос, вынесенный в заголовок, звучит так: региональная экономика России не вышла на единую границу производственных возможностей и не впала в стагнацию. Она находится в состоянии структурной перестройки, где общенациональные тренды переплетаются с ярко выраженными региональными особенностями. Умение учитывать эту сложность и будет определять успех экономической политики в ближайшие годы.</w:t>
      </w:r>
    </w:p>
    <w:p w:rsidR="008C05E7" w:rsidRPr="008C05E7" w:rsidRDefault="008C05E7" w:rsidP="008C05E7">
      <w:pPr>
        <w:ind w:firstLine="708"/>
        <w:jc w:val="center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8C05E7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  <w:t xml:space="preserve">Список использованной литературы </w:t>
      </w:r>
    </w:p>
    <w:p w:rsidR="008C05E7" w:rsidRPr="008C05E7" w:rsidRDefault="008C05E7" w:rsidP="008C05E7">
      <w:pPr>
        <w:numPr>
          <w:ilvl w:val="0"/>
          <w:numId w:val="1"/>
        </w:numPr>
        <w:spacing w:before="96" w:after="96" w:line="264" w:lineRule="atLeast"/>
        <w:ind w:left="-36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C05E7">
        <w:rPr>
          <w:rStyle w:val="a8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Андреев, А. В.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Региональная экономика: учебник для вузов / А. В. Андреев. — СПб: Питер, 2021.</w:t>
      </w:r>
    </w:p>
    <w:p w:rsidR="008C05E7" w:rsidRPr="008C05E7" w:rsidRDefault="008C05E7" w:rsidP="008C05E7">
      <w:pPr>
        <w:numPr>
          <w:ilvl w:val="0"/>
          <w:numId w:val="1"/>
        </w:numPr>
        <w:spacing w:before="96" w:after="96" w:line="264" w:lineRule="atLeast"/>
        <w:ind w:left="-360"/>
        <w:rPr>
          <w:rFonts w:ascii="Times New Roman" w:eastAsia="Arial" w:hAnsi="Times New Roman" w:cs="Times New Roman"/>
          <w:sz w:val="24"/>
          <w:szCs w:val="24"/>
          <w:lang w:val="ru-RU"/>
        </w:rPr>
      </w:pPr>
      <w:proofErr w:type="spellStart"/>
      <w:r w:rsidRPr="008C05E7">
        <w:rPr>
          <w:rStyle w:val="a8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Вахромов</w:t>
      </w:r>
      <w:proofErr w:type="spellEnd"/>
      <w:r w:rsidRPr="008C05E7">
        <w:rPr>
          <w:rStyle w:val="a8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, Е. Н.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Региональная экономика в многоуровневой структуре рыночной экономики / Е. Н. </w:t>
      </w:r>
      <w:proofErr w:type="spellStart"/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Вахромов</w:t>
      </w:r>
      <w:proofErr w:type="spellEnd"/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// Вестник Иркутского государственного университета. — 2024. — № 2.</w:t>
      </w:r>
    </w:p>
    <w:p w:rsidR="008C05E7" w:rsidRPr="008C05E7" w:rsidRDefault="008C05E7" w:rsidP="008C05E7">
      <w:pPr>
        <w:numPr>
          <w:ilvl w:val="0"/>
          <w:numId w:val="1"/>
        </w:numPr>
        <w:spacing w:before="96" w:after="96" w:line="264" w:lineRule="atLeast"/>
        <w:ind w:left="-360"/>
        <w:rPr>
          <w:rFonts w:ascii="Times New Roman" w:eastAsia="Arial" w:hAnsi="Times New Roman" w:cs="Times New Roman"/>
          <w:sz w:val="24"/>
          <w:szCs w:val="24"/>
          <w:lang w:val="ru-RU"/>
        </w:rPr>
      </w:pPr>
      <w:proofErr w:type="spellStart"/>
      <w:r w:rsidRPr="008C05E7">
        <w:rPr>
          <w:rStyle w:val="a8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Кистанов</w:t>
      </w:r>
      <w:proofErr w:type="spellEnd"/>
      <w:r w:rsidRPr="008C05E7">
        <w:rPr>
          <w:rStyle w:val="a8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, В. В.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Региональная экономика России: Учебник / В. В. </w:t>
      </w:r>
      <w:proofErr w:type="spellStart"/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Кистанов</w:t>
      </w:r>
      <w:proofErr w:type="spellEnd"/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, Н. В. Копылов. — М.: Финансы и статистика, 2018.</w:t>
      </w:r>
    </w:p>
    <w:p w:rsidR="008C05E7" w:rsidRPr="008C05E7" w:rsidRDefault="008C05E7" w:rsidP="008C05E7">
      <w:pPr>
        <w:numPr>
          <w:ilvl w:val="0"/>
          <w:numId w:val="1"/>
        </w:numPr>
        <w:spacing w:before="96" w:after="96" w:line="264" w:lineRule="atLeast"/>
        <w:ind w:left="-36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C05E7">
        <w:rPr>
          <w:rStyle w:val="a8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Самсоненко, Г. Г.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Региональная экономика и управление / Г. Г. Самсоненко, А. В. Соляр. — М.: ИВЭСЭП, 2016.</w:t>
      </w:r>
    </w:p>
    <w:p w:rsidR="008C05E7" w:rsidRPr="008C05E7" w:rsidRDefault="008C05E7" w:rsidP="008C05E7">
      <w:pPr>
        <w:numPr>
          <w:ilvl w:val="0"/>
          <w:numId w:val="1"/>
        </w:numPr>
        <w:spacing w:before="96" w:after="96" w:line="264" w:lineRule="atLeast"/>
        <w:ind w:left="-36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C05E7">
        <w:rPr>
          <w:rStyle w:val="a8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Сидоров, М. К.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Социально-экономическая география и </w:t>
      </w:r>
      <w:proofErr w:type="spellStart"/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регионалистика</w:t>
      </w:r>
      <w:proofErr w:type="spellEnd"/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России: учебник / М. К. Сидоров. — М.: ИНФРА – М, 2022.</w:t>
      </w:r>
    </w:p>
    <w:p w:rsidR="008C05E7" w:rsidRPr="008C05E7" w:rsidRDefault="008C05E7" w:rsidP="008C05E7">
      <w:pPr>
        <w:numPr>
          <w:ilvl w:val="0"/>
          <w:numId w:val="1"/>
        </w:numPr>
        <w:spacing w:before="96" w:after="96" w:line="264" w:lineRule="atLeast"/>
        <w:ind w:left="-36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C05E7">
        <w:rPr>
          <w:rStyle w:val="a8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Соловьева, Т. В.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Идеи экономического районирования в исторической ретроспективе / Т. В. Соловьева // Известия Уральского государственного университета. — 2017. — № 49.</w:t>
      </w:r>
    </w:p>
    <w:p w:rsidR="008C05E7" w:rsidRPr="008C05E7" w:rsidRDefault="008C05E7" w:rsidP="008C05E7">
      <w:pPr>
        <w:numPr>
          <w:ilvl w:val="0"/>
          <w:numId w:val="1"/>
        </w:numPr>
        <w:spacing w:before="96" w:after="96" w:line="264" w:lineRule="atLeast"/>
        <w:ind w:left="-36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C05E7">
        <w:rPr>
          <w:rStyle w:val="a8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Чапек, В. Н.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Региональная экономика: учебник для вузов / В. Н. Чапек. — Ростов-на-Дону: Феникс, 2017.</w:t>
      </w:r>
    </w:p>
    <w:p w:rsidR="008C05E7" w:rsidRPr="008C05E7" w:rsidRDefault="008C05E7" w:rsidP="008C05E7">
      <w:pPr>
        <w:numPr>
          <w:ilvl w:val="0"/>
          <w:numId w:val="1"/>
        </w:numPr>
        <w:spacing w:before="96" w:after="96" w:line="264" w:lineRule="atLeast"/>
        <w:ind w:left="-36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C05E7">
        <w:rPr>
          <w:rStyle w:val="a8"/>
          <w:rFonts w:ascii="Times New Roman" w:eastAsia="Arial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  <w:t>Янин, А. Н.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 </w:t>
      </w:r>
      <w:r w:rsidRPr="008C05E7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Региональная экономика и управление / А. Н. Янин. — М.: Проспект, 2016.</w:t>
      </w: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</w:p>
    <w:p w:rsidR="008C05E7" w:rsidRPr="008C05E7" w:rsidRDefault="008C05E7" w:rsidP="008C05E7">
      <w:pPr>
        <w:ind w:firstLine="708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</w:p>
    <w:p w:rsidR="008C05E7" w:rsidRPr="008C05E7" w:rsidRDefault="008C05E7" w:rsidP="008C05E7">
      <w:pPr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</w:p>
    <w:p w:rsidR="008C05E7" w:rsidRPr="008C05E7" w:rsidRDefault="008C05E7" w:rsidP="008C05E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34FAF" w:rsidRPr="008C05E7" w:rsidRDefault="008C05E7">
      <w:pPr>
        <w:rPr>
          <w:rFonts w:ascii="Times New Roman" w:hAnsi="Times New Roman" w:cs="Times New Roman"/>
          <w:lang w:val="ru-RU"/>
        </w:rPr>
      </w:pPr>
    </w:p>
    <w:sectPr w:rsidR="00F34FAF" w:rsidRPr="008C05E7" w:rsidSect="008C05E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2846"/>
    <w:multiLevelType w:val="singleLevel"/>
    <w:tmpl w:val="0F86284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26"/>
    <w:rsid w:val="000E00A0"/>
    <w:rsid w:val="001238B6"/>
    <w:rsid w:val="00151E26"/>
    <w:rsid w:val="00196AEF"/>
    <w:rsid w:val="008C05E7"/>
    <w:rsid w:val="00DA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E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DA2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F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F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F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F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F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F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F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F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A2F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2F3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A2F3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A2F3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A2F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A2F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A2F3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2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2F38"/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2F3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A2F3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A2F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2F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qFormat/>
    <w:rsid w:val="00DA2F38"/>
    <w:rPr>
      <w:b/>
      <w:bCs/>
    </w:rPr>
  </w:style>
  <w:style w:type="character" w:styleId="a9">
    <w:name w:val="Emphasis"/>
    <w:basedOn w:val="a0"/>
    <w:uiPriority w:val="20"/>
    <w:qFormat/>
    <w:rsid w:val="00DA2F38"/>
    <w:rPr>
      <w:i/>
      <w:iCs/>
    </w:rPr>
  </w:style>
  <w:style w:type="paragraph" w:styleId="aa">
    <w:name w:val="No Spacing"/>
    <w:uiPriority w:val="1"/>
    <w:qFormat/>
    <w:rsid w:val="00DA2F3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2F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2F3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2F3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A2F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A2F38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DA2F3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A2F38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DA2F38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DA2F38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A2F3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A2F3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E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DA2F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F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F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F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F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F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F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F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F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A2F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2F3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A2F3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A2F3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A2F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A2F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A2F3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2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2F38"/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2F3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A2F3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A2F3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2F3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qFormat/>
    <w:rsid w:val="00DA2F38"/>
    <w:rPr>
      <w:b/>
      <w:bCs/>
    </w:rPr>
  </w:style>
  <w:style w:type="character" w:styleId="a9">
    <w:name w:val="Emphasis"/>
    <w:basedOn w:val="a0"/>
    <w:uiPriority w:val="20"/>
    <w:qFormat/>
    <w:rsid w:val="00DA2F38"/>
    <w:rPr>
      <w:i/>
      <w:iCs/>
    </w:rPr>
  </w:style>
  <w:style w:type="paragraph" w:styleId="aa">
    <w:name w:val="No Spacing"/>
    <w:uiPriority w:val="1"/>
    <w:qFormat/>
    <w:rsid w:val="00DA2F3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2F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2F3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2F3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A2F3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A2F38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DA2F3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A2F38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DA2F38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DA2F38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A2F3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A2F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press/regevent?id=64666" TargetMode="External"/><Relationship Id="rId13" Type="http://schemas.openxmlformats.org/officeDocument/2006/relationships/hyperlink" Target="https://raexpert.ru/researches/publications/kommersant_mar13_2026/" TargetMode="External"/><Relationship Id="rId18" Type="http://schemas.openxmlformats.org/officeDocument/2006/relationships/hyperlink" Target="http://taxpravo.ru/analitika/statya-487279-regionalnyie_finansyi_2025_rost_dohodov_defitsityi_i_novyie_vyizovyi_dlya_byudjetov" TargetMode="External"/><Relationship Id="rId26" Type="http://schemas.openxmlformats.org/officeDocument/2006/relationships/hyperlink" Target="https://bujet.ru/article/510482.ph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fin.gov.ru/ru/press-center/?id_4=40135-pavel_kadochnikov_ispolnenie_regionalnykh_byudzhetov_napryazhennoe_no_v_tselom_idet_s_rostom_dokhodov" TargetMode="External"/><Relationship Id="rId7" Type="http://schemas.openxmlformats.org/officeDocument/2006/relationships/hyperlink" Target="https://www.pnp.ru/economics/komi-i-kemerovo-minek-nazval-gde-zhdat-obvala-ekonomiki-v-etom-godu.html" TargetMode="External"/><Relationship Id="rId12" Type="http://schemas.openxmlformats.org/officeDocument/2006/relationships/hyperlink" Target="https://www.cbr.ru/analytics/dkp/reg_review/1225/" TargetMode="External"/><Relationship Id="rId17" Type="http://schemas.openxmlformats.org/officeDocument/2006/relationships/hyperlink" Target="https://myseldon.com/ru/news/index/336748256?requestId=040ccd02-53c0-416f-8d67-d1e226b1485b" TargetMode="External"/><Relationship Id="rId25" Type="http://schemas.openxmlformats.org/officeDocument/2006/relationships/hyperlink" Target="https://bujet.ru/article/510482.php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ase.garant.ru/406419273/a848c3c97f7876ad27da1cba2304a90b/" TargetMode="External"/><Relationship Id="rId20" Type="http://schemas.openxmlformats.org/officeDocument/2006/relationships/hyperlink" Target="http://taxpravo.ru/analitika/statya-487279-regionalnyie_finansyi_2025_rost_dohodov_defitsityi_i_novyie_vyizovyi_dlya_byudjetov" TargetMode="External"/><Relationship Id="rId29" Type="http://schemas.openxmlformats.org/officeDocument/2006/relationships/hyperlink" Target="https://raexpert.ru/researches/publications/kommersant_mar13_202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g-online.ru/article/501834/" TargetMode="External"/><Relationship Id="rId11" Type="http://schemas.openxmlformats.org/officeDocument/2006/relationships/hyperlink" Target="https://www.cbr.ru/analytics/dkp/reg_review/1225/" TargetMode="External"/><Relationship Id="rId24" Type="http://schemas.openxmlformats.org/officeDocument/2006/relationships/hyperlink" Target="https://www.pnp.ru/economics/komi-i-kemerovo-minek-nazval-gde-zhdat-obvala-ekonomiki-v-etom-godu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406419273/a848c3c97f7876ad27da1cba2304a90b/" TargetMode="External"/><Relationship Id="rId23" Type="http://schemas.openxmlformats.org/officeDocument/2006/relationships/hyperlink" Target="https://bujet.ru/article/510482.php" TargetMode="External"/><Relationship Id="rId28" Type="http://schemas.openxmlformats.org/officeDocument/2006/relationships/hyperlink" Target="https://raexpert.ru/researches/publications/kommersant_mar13_2026/" TargetMode="External"/><Relationship Id="rId10" Type="http://schemas.openxmlformats.org/officeDocument/2006/relationships/hyperlink" Target="https://www.cbr.ru/analytics/dkp/reg_review/1225/" TargetMode="External"/><Relationship Id="rId19" Type="http://schemas.openxmlformats.org/officeDocument/2006/relationships/hyperlink" Target="http://taxpravo.ru/analitika/statya-487279-regionalnyie_finansyi_2025_rost_dohodov_defitsityi_i_novyie_vyizovyi_dlya_byudjetov" TargetMode="External"/><Relationship Id="rId31" Type="http://schemas.openxmlformats.org/officeDocument/2006/relationships/hyperlink" Target="https://minfin.gov.ru/ru/press-center/?id_4=40135-pavel_kadochnikov_ispolnenie_regionalnykh_byudzhetov_napryazhennoe_no_v_tselom_idet_s_rostom_dokhod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br.ru/press/regevent?id=64666" TargetMode="External"/><Relationship Id="rId14" Type="http://schemas.openxmlformats.org/officeDocument/2006/relationships/hyperlink" Target="https://www.economy.gov.ru/material/news/minekonomrazvitiya_monitoringom_kachestva_gosuslug_ohvacheny_vse_servisy_v_strane.html" TargetMode="External"/><Relationship Id="rId22" Type="http://schemas.openxmlformats.org/officeDocument/2006/relationships/hyperlink" Target="https://fedpress.ru/amp/expert-opinion/3421374" TargetMode="External"/><Relationship Id="rId27" Type="http://schemas.openxmlformats.org/officeDocument/2006/relationships/hyperlink" Target="https://bujet.ru/article/510482.php" TargetMode="External"/><Relationship Id="rId30" Type="http://schemas.openxmlformats.org/officeDocument/2006/relationships/hyperlink" Target="https://raexpert.ru/researches/publications/kommersant_mar13_2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1934</Words>
  <Characters>11030</Characters>
  <Application>Microsoft Office Word</Application>
  <DocSecurity>0</DocSecurity>
  <Lines>91</Lines>
  <Paragraphs>25</Paragraphs>
  <ScaleCrop>false</ScaleCrop>
  <Company/>
  <LinksUpToDate>false</LinksUpToDate>
  <CharactersWithSpaces>12939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2026-04-06T15:50:00Z</dcterms:created>
  <dcterms:modified xsi:type="dcterms:W3CDTF">2026-04-06T15:53:00Z</dcterms:modified>
</cp:coreProperties>
</file>