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spacing w:line="240"/>
        <w:jc w:val="center"/>
        <w:rPr>
          <w:rFonts w:ascii="Times New Roman" w:cs="Times New Roman" w:hAnsi="Times New Roman"/>
          <w:sz w:val="24"/>
          <w:szCs w:val="24"/>
        </w:rPr>
      </w:pPr>
      <w:r>
        <w:rPr>
          <w:rFonts w:ascii="Times New Roman" w:cs="Times New Roman" w:hAnsi="Times New Roman"/>
          <w:sz w:val="24"/>
          <w:szCs w:val="24"/>
          <w:lang w:val="ru-RU"/>
        </w:rPr>
        <w:t>Проблемы классификации геологической информации в ТН ВЭД ЕАЭС: формальный код и содержательная ценность</w:t>
      </w:r>
    </w:p>
    <w:p w14:paraId="00000002">
      <w:pPr>
        <w:spacing w:line="240"/>
        <w:jc w:val="center"/>
        <w:rPr>
          <w:rFonts w:ascii="Times New Roman" w:cs="Times New Roman" w:hAnsi="Times New Roman"/>
          <w:sz w:val="24"/>
          <w:szCs w:val="24"/>
          <w:lang w:val="ru-RU"/>
        </w:rPr>
      </w:pPr>
      <w:r>
        <w:rPr>
          <w:rFonts w:ascii="Times New Roman" w:cs="Times New Roman" w:hAnsi="Times New Roman"/>
          <w:sz w:val="24"/>
          <w:szCs w:val="24"/>
          <w:lang w:val="ru-RU"/>
        </w:rPr>
        <w:t>Асеева Анфиса Олеговна</w:t>
      </w:r>
    </w:p>
    <w:p w14:paraId="00000003">
      <w:pPr>
        <w:spacing w:line="240"/>
        <w:jc w:val="center"/>
        <w:rPr>
          <w:rFonts w:ascii="Times New Roman" w:cs="Times New Roman" w:hAnsi="Times New Roman"/>
          <w:sz w:val="24"/>
          <w:szCs w:val="24"/>
        </w:rPr>
      </w:pPr>
      <w:r>
        <w:rPr>
          <w:rFonts w:ascii="Times New Roman" w:cs="Times New Roman" w:hAnsi="Times New Roman"/>
          <w:sz w:val="24"/>
          <w:szCs w:val="24"/>
          <w:lang w:val="ru-RU"/>
        </w:rPr>
        <w:t>Студент</w:t>
      </w:r>
    </w:p>
    <w:p w14:paraId="00000004">
      <w:pPr>
        <w:spacing w:line="240"/>
        <w:jc w:val="center"/>
        <w:rPr>
          <w:rFonts w:ascii="Times New Roman" w:cs="Times New Roman" w:hAnsi="Times New Roman"/>
          <w:sz w:val="24"/>
          <w:szCs w:val="24"/>
          <w:lang w:val="ru-RU"/>
        </w:rPr>
      </w:pPr>
      <w:r>
        <w:rPr>
          <w:rFonts w:ascii="Times New Roman" w:cs="Times New Roman" w:hAnsi="Times New Roman"/>
          <w:sz w:val="24"/>
          <w:szCs w:val="24"/>
          <w:lang w:val="ru-RU"/>
        </w:rPr>
        <w:t>Иевлева Наталья Владимировна</w:t>
      </w:r>
    </w:p>
    <w:p w14:paraId="00000005">
      <w:pPr>
        <w:spacing w:line="240"/>
        <w:jc w:val="center"/>
        <w:rPr>
          <w:rFonts w:ascii="Times New Roman" w:cs="Times New Roman" w:hAnsi="Times New Roman"/>
          <w:sz w:val="24"/>
          <w:szCs w:val="24"/>
          <w:lang w:val="ru-RU"/>
        </w:rPr>
      </w:pPr>
      <w:r>
        <w:rPr>
          <w:rFonts w:ascii="Times New Roman" w:cs="Times New Roman" w:hAnsi="Times New Roman"/>
          <w:sz w:val="24"/>
          <w:szCs w:val="24"/>
          <w:lang w:val="ru-RU"/>
        </w:rPr>
        <w:t>Научный руководитель: старший преподаватель</w:t>
      </w:r>
    </w:p>
    <w:p w14:paraId="00000006">
      <w:pPr>
        <w:spacing w:line="240"/>
        <w:jc w:val="center"/>
        <w:rPr>
          <w:rFonts w:ascii="Times New Roman" w:cs="Times New Roman" w:hAnsi="Times New Roman"/>
          <w:sz w:val="24"/>
          <w:szCs w:val="24"/>
          <w:lang w:val="ru-RU"/>
        </w:rPr>
      </w:pPr>
      <w:r>
        <w:rPr>
          <w:rFonts w:ascii="Times New Roman" w:cs="Times New Roman" w:hAnsi="Times New Roman"/>
          <w:sz w:val="24"/>
          <w:szCs w:val="24"/>
          <w:lang w:val="ru-RU"/>
        </w:rPr>
        <w:t>Факультет: экономический</w:t>
      </w:r>
    </w:p>
    <w:p w14:paraId="00000007">
      <w:pPr>
        <w:spacing w:line="240"/>
        <w:ind w:firstLine="720"/>
        <w:rPr>
          <w:rFonts w:ascii="Times New Roman" w:cs="Times New Roman" w:hAnsi="Times New Roman"/>
          <w:sz w:val="24"/>
          <w:szCs w:val="24"/>
          <w:lang w:val="ru-RU"/>
        </w:rPr>
      </w:pPr>
      <w:r>
        <w:rPr>
          <w:rFonts w:ascii="Times New Roman" w:cs="Times New Roman" w:hAnsi="Times New Roman"/>
          <w:sz w:val="24"/>
          <w:szCs w:val="24"/>
          <w:lang w:val="ru-RU"/>
        </w:rPr>
        <w:t>Ключевые слова: информация о недрах, геологические карты, ТН ВЭД ЕАЭС, классификация товаров, нетарифное регулирование, код 4905, разрешительный порядок.</w:t>
      </w:r>
    </w:p>
    <w:p w14:paraId="00000008">
      <w:pPr>
        <w:spacing w:line="240"/>
        <w:ind w:firstLine="720"/>
        <w:rPr>
          <w:rFonts w:ascii="Times New Roman" w:cs="Times New Roman" w:hAnsi="Times New Roman"/>
          <w:sz w:val="24"/>
          <w:szCs w:val="24"/>
        </w:rPr>
      </w:pPr>
      <w:r>
        <w:rPr>
          <w:rFonts w:ascii="Times New Roman" w:cs="Times New Roman" w:hAnsi="Times New Roman"/>
          <w:sz w:val="24"/>
          <w:szCs w:val="24"/>
          <w:lang w:val="ru-RU"/>
        </w:rPr>
        <w:t>В статье анализируется проблема классификации геологической информации о недрах в Товарной номенклатуре внешнеэкономической деятельности ЕАЭС. Показано, что формальное отнесение геологических карт и отчётов к коду 4905 «Карты географические и аналогичные им» не отражает их содержательной ценности как стратегического информационного ресурса. Выявлены правовые и правоприменительные риски, возникающие при декларировании таких товаров без учёта специальных нетарифных мер. Предложены пути совершенствования системы классификации и таможенного контроля.</w:t>
      </w:r>
    </w:p>
    <w:p w14:paraId="00000009">
      <w:pPr>
        <w:spacing w:line="240"/>
        <w:ind w:firstLine="720"/>
        <w:rPr>
          <w:rFonts w:ascii="Times New Roman" w:cs="Times New Roman" w:hAnsi="Times New Roman"/>
          <w:sz w:val="24"/>
          <w:szCs w:val="24"/>
          <w:lang w:val="ru-RU"/>
        </w:rPr>
      </w:pPr>
      <w:r>
        <w:rPr>
          <w:rFonts w:ascii="Times New Roman" w:cs="Times New Roman" w:hAnsi="Times New Roman"/>
          <w:sz w:val="24"/>
          <w:szCs w:val="24"/>
          <w:lang w:val="ru-RU"/>
        </w:rPr>
        <w:t>Актуальность исследования проблем классификации геологической информации в Товарной номенклатуре внешнеэкономической деятельности Евразийского экономического союза (ТН ВЭД ЕАЭС) обусловлена двойственным правовым статусом таких объектов. С одной стороны, геологические карты, разрезы, отчёты и иные материальные носители информации о недрах формально подпадают под товарную позицию 4905 «Карты географические и гидрографические или аналогичные карты всех видов, включая атласы, настенные карты, топографические планы и глобусы, отпечатанные»[1]. С другой стороны, содержащиеся в них сведения о строении недр, месторождениях полезных ископаемых и запасах стратегического сырья относятся к информации, вывоз которой подлежит нетарифному регулированию, а в ряде случаев – составляет государственную или коммерческую тайну. Указанное противоречие между формальным классификационным кодом и реальной содержательной ценностью товара создаёт риски как для участников внешнеэкономической деятельности (ВЭД), так и для таможенных органов, затрудняя законный оборот такой продукции и повышая вероятность нарушений.</w:t>
      </w:r>
    </w:p>
    <w:p w14:paraId="0000000A">
      <w:pPr>
        <w:spacing w:line="240"/>
        <w:ind w:firstLine="720"/>
        <w:rPr>
          <w:rFonts w:ascii="Times New Roman" w:cs="Times New Roman" w:hAnsi="Times New Roman"/>
          <w:sz w:val="24"/>
          <w:szCs w:val="24"/>
          <w:lang w:val="ru-RU"/>
        </w:rPr>
      </w:pPr>
      <w:r>
        <w:rPr>
          <w:rFonts w:ascii="Times New Roman" w:cs="Times New Roman" w:hAnsi="Times New Roman"/>
          <w:sz w:val="24"/>
          <w:szCs w:val="24"/>
          <w:lang w:val="ru-RU"/>
        </w:rPr>
        <w:t>Целью статьи является выявление проблем классификации геологической информации в ТН ВЭД ЕАЭС и разработка предложений по их минимизации.</w:t>
      </w:r>
    </w:p>
    <w:p w14:paraId="0000000B">
      <w:pPr>
        <w:spacing w:line="240"/>
        <w:ind w:firstLine="720"/>
        <w:rPr>
          <w:rFonts w:ascii="Times New Roman" w:cs="Times New Roman" w:hAnsi="Times New Roman"/>
          <w:sz w:val="24"/>
          <w:szCs w:val="24"/>
          <w:lang w:val="ru-RU"/>
        </w:rPr>
      </w:pPr>
      <w:r>
        <w:rPr>
          <w:rFonts w:ascii="Times New Roman" w:cs="Times New Roman" w:hAnsi="Times New Roman"/>
          <w:sz w:val="24"/>
          <w:szCs w:val="24"/>
          <w:lang w:val="ru-RU"/>
        </w:rPr>
        <w:t xml:space="preserve">В соответствии с Решением Коллегии Евразийской экономической комиссии от 21 апреля 2015 г. № 30 «О мерах нетарифного регулирования», информация о недрах по районам и месторождениям топливно-энергетического и минерального сырья включена в Единый перечень товаров, к которым применяются меры нетарифного регулирования в виде разрешительного порядка вывоза[2]. Это означает, что для законного экспорта геологической карты, содержащей такие сведения, требуется лицензия Минпромторга России, выдаваемая на основании положительного заключения Роснедр. Однако в ТН ВЭД ЕАЭС для геологических карт не предусмотрено отдельного классификационного кода, отличного от кода для обычных </w:t>
      </w:r>
      <w:r>
        <w:rPr>
          <w:rFonts w:ascii="Times New Roman" w:cs="Times New Roman" w:hAnsi="Times New Roman"/>
          <w:sz w:val="24"/>
          <w:szCs w:val="24"/>
          <w:lang w:val="ru-RU"/>
        </w:rPr>
        <w:t>фических или дорожных карт. Все они попадают в субпозицию 4905 90 000 0 «Карты прочие».</w:t>
      </w:r>
    </w:p>
    <w:p w14:paraId="0000000C">
      <w:pPr>
        <w:spacing w:line="240"/>
        <w:ind w:firstLine="720"/>
        <w:rPr>
          <w:rFonts w:ascii="Times New Roman" w:cs="Times New Roman" w:hAnsi="Times New Roman"/>
          <w:sz w:val="24"/>
          <w:szCs w:val="24"/>
          <w:lang w:val="ru-RU"/>
        </w:rPr>
      </w:pPr>
      <w:r>
        <w:rPr>
          <w:rFonts w:ascii="Times New Roman" w:cs="Times New Roman" w:hAnsi="Times New Roman"/>
          <w:sz w:val="24"/>
          <w:szCs w:val="24"/>
          <w:lang w:val="ru-RU"/>
        </w:rPr>
        <w:t>Такая унификация приводит к серьёзным правовым последствиям. Декларант, указывая код 4905 90 000 0, формально соблюдает правила классификации, но может не знать или сознательно игнорировать необходимость получения разрешительных документов, поскольку сам код не сигнализирует о применении нетарифных мер. Таможенный орган, в свою очередь, при проверке декларации также ориентируется прежде всего на код товара. Отсутствие в ТН ВЭД специальной маркировки для стратегической геологической информации снижает эффективность системы управления рисками и позволяет недобросовестным участникам ВЭД «скрывать» истинный характер товара за нейтральным кодом печатной продукции.</w:t>
      </w:r>
    </w:p>
    <w:p w14:paraId="0000000D">
      <w:pPr>
        <w:spacing w:line="240"/>
        <w:ind w:firstLine="720"/>
        <w:rPr>
          <w:rFonts w:ascii="Times New Roman" w:cs="Times New Roman" w:hAnsi="Times New Roman"/>
          <w:sz w:val="24"/>
          <w:szCs w:val="24"/>
          <w:lang w:val="ru-RU"/>
        </w:rPr>
      </w:pPr>
      <w:r>
        <w:rPr>
          <w:rFonts w:ascii="Times New Roman" w:cs="Times New Roman" w:hAnsi="Times New Roman"/>
          <w:sz w:val="24"/>
          <w:szCs w:val="24"/>
          <w:lang w:val="ru-RU"/>
        </w:rPr>
        <w:t>Проблема усугубляется тем, что на уровне обязательных пояснений к ТН ВЭД ЕАЭС (например, Пояснения к группе 49) не содержится критериев для разграничения карт общего пользования и специализированных геологических карт, содержащих информацию о недрах. Основной признак для классификации в позиции 4905 – это «печатный способ изготовления» и «изображение природных или искусственных объектов с использованием условных знаков»[3]. Качественные характеристики информации (её секретность, стратегическая ценность) при классификации не учитываются. Таким образом, один и тот же код могут получить как туристическая карта города, так и детализированная геологическая карта месторождения урана.</w:t>
      </w:r>
    </w:p>
    <w:p w14:paraId="0000000E">
      <w:pPr>
        <w:spacing w:line="240"/>
        <w:ind w:firstLine="720"/>
        <w:rPr>
          <w:rFonts w:ascii="Times New Roman" w:cs="Times New Roman" w:hAnsi="Times New Roman"/>
          <w:sz w:val="24"/>
          <w:szCs w:val="24"/>
          <w:lang w:val="ru-RU"/>
        </w:rPr>
      </w:pPr>
      <w:r>
        <w:rPr>
          <w:rFonts w:ascii="Times New Roman" w:cs="Times New Roman" w:hAnsi="Times New Roman"/>
          <w:sz w:val="24"/>
          <w:szCs w:val="24"/>
          <w:lang w:val="ru-RU"/>
        </w:rPr>
        <w:t>Практические риски для участников ВЭД при такой классификации весьма высоки. Если декларант заявляет код 4905, но не представляет лицензию на вывоз, таможенный орган отказывает в выпуске товара на основании несоблюдения запретов и ограничений. При этом сам декларант может добросовестно заблуждаться, полагая, что раз товар классифицирован как печатная продукция, то специальные разрешения не требуются. В случае выявления нарушения после выпуска товара (например, при последующем контроле) возникает административная или даже уголовная ответственность по ст. 16.3 КоАП РФ или ст. 226.1 УК РФ.</w:t>
      </w:r>
    </w:p>
    <w:p w14:paraId="0000000F">
      <w:pPr>
        <w:spacing w:line="240"/>
        <w:ind w:firstLine="720"/>
        <w:rPr>
          <w:rFonts w:ascii="Times New Roman" w:cs="Times New Roman" w:hAnsi="Times New Roman"/>
          <w:sz w:val="24"/>
          <w:szCs w:val="24"/>
          <w:lang w:val="ru-RU"/>
        </w:rPr>
      </w:pPr>
      <w:r>
        <w:rPr>
          <w:rFonts w:ascii="Times New Roman" w:cs="Times New Roman" w:hAnsi="Times New Roman"/>
          <w:sz w:val="24"/>
          <w:szCs w:val="24"/>
          <w:lang w:val="ru-RU"/>
        </w:rPr>
        <w:t>Кроме того, неправильная классификация (умышленное заявление иного кода, не 4905, а, например, кода 4911 «Прочая печатная продукция» или 8523 «Носители для записи звука или аналогичных записей») может использоваться для полного сокрытия факта перемещения геологической информации. Примеры из судебной практики показывают, что попытки вывезти геологические карты под видом деловой документации или сувенирной продукции нередки[4].</w:t>
      </w:r>
    </w:p>
    <w:p w14:paraId="00000010">
      <w:pPr>
        <w:spacing w:line="240"/>
        <w:ind w:firstLine="720"/>
        <w:rPr>
          <w:rFonts w:ascii="Times New Roman" w:cs="Times New Roman" w:hAnsi="Times New Roman"/>
          <w:sz w:val="24"/>
          <w:szCs w:val="24"/>
          <w:lang w:val="ru-RU"/>
        </w:rPr>
      </w:pPr>
      <w:r>
        <w:rPr>
          <w:rFonts w:ascii="Times New Roman" w:cs="Times New Roman" w:hAnsi="Times New Roman"/>
          <w:sz w:val="24"/>
          <w:szCs w:val="24"/>
          <w:lang w:val="ru-RU"/>
        </w:rPr>
        <w:t>Для решения указанных проблем представляется необходимым внести изменения в ТН ВЭД ЕАЭС на уровне Комиссии ЕЭК. Возможны следующие подходы:</w:t>
      </w:r>
    </w:p>
    <w:p w14:paraId="00000011">
      <w:pPr>
        <w:spacing w:line="240"/>
        <w:ind w:firstLine="720"/>
        <w:rPr>
          <w:rFonts w:ascii="Times New Roman" w:cs="Times New Roman" w:hAnsi="Times New Roman"/>
          <w:sz w:val="24"/>
          <w:szCs w:val="24"/>
          <w:lang w:val="ru-RU"/>
        </w:rPr>
      </w:pPr>
      <w:r>
        <w:rPr>
          <w:rFonts w:ascii="Times New Roman" w:cs="Times New Roman" w:hAnsi="Times New Roman"/>
          <w:sz w:val="24"/>
          <w:szCs w:val="24"/>
          <w:lang w:val="ru-RU"/>
        </w:rPr>
        <w:t>1. Выделение отдельной подсубпозиции в группе 49 для геологических, геофизических и аналогичных специализированных карт, содержащих информацию о недрах. Например, 4905 91 000 0 – «Карты геологические и специализированные карты недр». Это позволит таможенным органам автоматически применять профильные риски и требовать разрешительные документы.</w:t>
      </w:r>
    </w:p>
    <w:p w14:paraId="00000012">
      <w:pPr>
        <w:spacing w:line="240"/>
        <w:ind w:firstLine="720"/>
        <w:rPr>
          <w:rFonts w:ascii="Times New Roman" w:cs="Times New Roman" w:hAnsi="Times New Roman"/>
          <w:sz w:val="24"/>
          <w:szCs w:val="24"/>
          <w:lang w:val="ru-RU"/>
        </w:rPr>
      </w:pPr>
      <w:r>
        <w:rPr>
          <w:rFonts w:ascii="Times New Roman" w:cs="Times New Roman" w:hAnsi="Times New Roman"/>
          <w:sz w:val="24"/>
          <w:szCs w:val="24"/>
          <w:lang w:val="ru-RU"/>
        </w:rPr>
        <w:t>2. Введение примечания к группе 49 или к разделу X, согласно которому товары, классифицируемые в позиции 4905, при вывозе подлежат нетарифному регулированию в соответствии с законодательством ЕАЭС и государств-членов, если содержат сведения о недрах стратегического значения.</w:t>
      </w:r>
    </w:p>
    <w:p w14:paraId="00000013">
      <w:pPr>
        <w:spacing w:line="240"/>
        <w:ind w:firstLine="720"/>
        <w:rPr>
          <w:rFonts w:ascii="Times New Roman" w:cs="Times New Roman" w:hAnsi="Times New Roman"/>
          <w:sz w:val="24"/>
          <w:szCs w:val="24"/>
          <w:lang w:val="ru-RU"/>
        </w:rPr>
      </w:pPr>
      <w:r>
        <w:rPr>
          <w:rFonts w:ascii="Times New Roman" w:cs="Times New Roman" w:hAnsi="Times New Roman"/>
          <w:sz w:val="24"/>
          <w:szCs w:val="24"/>
          <w:lang w:val="ru-RU"/>
        </w:rPr>
        <w:t>3. Разработка совместного указания ФТС России и Минпромторга о порядке контроля за вывозом геологической информации, где будет закреплено, что код ТН ВЭЭД 4905 90 000 0 является маркером необходимости проверки лицензии, если в описании товара присутствуют ключевые слова («геологическая карта», «разрез недр», «месторождение», «запасы полезных ископаемых»).</w:t>
      </w:r>
    </w:p>
    <w:p w14:paraId="00000014">
      <w:pPr>
        <w:spacing w:line="240"/>
        <w:ind w:firstLine="720"/>
        <w:rPr>
          <w:rFonts w:ascii="Times New Roman" w:cs="Times New Roman" w:hAnsi="Times New Roman"/>
          <w:sz w:val="24"/>
          <w:szCs w:val="24"/>
          <w:lang w:val="ru-RU"/>
        </w:rPr>
      </w:pPr>
      <w:r>
        <w:rPr>
          <w:rFonts w:ascii="Times New Roman" w:cs="Times New Roman" w:hAnsi="Times New Roman"/>
          <w:sz w:val="24"/>
          <w:szCs w:val="24"/>
          <w:lang w:val="ru-RU"/>
        </w:rPr>
        <w:t>Дополнительным механизмом, не требующим изменения ТН ВЭД, может стать обязательное информирование декларанта при заполнении графы 31 («Описание товара») о необходимости указания целевого назначения карт. Если в описании фигурирует информация о недрах, таможенный орган должен запрашивать лицензию в рамках проверки соблюдения запретов и ограничений.</w:t>
      </w:r>
    </w:p>
    <w:p w14:paraId="00000015">
      <w:pPr>
        <w:spacing w:line="240"/>
        <w:ind w:firstLine="720"/>
        <w:rPr>
          <w:rFonts w:ascii="Times New Roman" w:cs="Times New Roman" w:hAnsi="Times New Roman"/>
          <w:sz w:val="24"/>
          <w:szCs w:val="24"/>
          <w:lang w:val="ru-RU"/>
        </w:rPr>
      </w:pPr>
      <w:r>
        <w:rPr>
          <w:rFonts w:ascii="Times New Roman" w:cs="Times New Roman" w:hAnsi="Times New Roman"/>
          <w:sz w:val="24"/>
          <w:szCs w:val="24"/>
          <w:lang w:val="ru-RU"/>
        </w:rPr>
        <w:t>Таким образом, существующая система классификации геологической информации в ТН ВЭД ЕАЭС не отражает её содержательной ценности и связанных с эт</w:t>
      </w:r>
      <w:r>
        <w:rPr>
          <w:rFonts w:ascii="Times New Roman" w:cs="Times New Roman" w:hAnsi="Times New Roman"/>
          <w:sz w:val="24"/>
          <w:szCs w:val="24"/>
          <w:lang w:val="ru-RU"/>
        </w:rPr>
        <w:t>им нетарифных ограничений. Это порождает правовую неопределённость для бизнеса и риски утечки стратегических данных для государства. Внесение предложенных изменений в ТН ВЭД и разработка дополнительных контрольных механизмов позволят повысить эффективность таможенного администрирования, сохранив баланс между содействием законной торговле и защитой национальных интересов.</w:t>
      </w:r>
    </w:p>
    <w:p w14:paraId="00000016">
      <w:pPr>
        <w:spacing w:line="240"/>
        <w:rPr>
          <w:rFonts w:ascii="Times New Roman" w:cs="Times New Roman" w:hAnsi="Times New Roman"/>
          <w:sz w:val="24"/>
          <w:szCs w:val="24"/>
        </w:rPr>
      </w:pPr>
    </w:p>
    <w:p w14:paraId="00000017">
      <w:pPr>
        <w:spacing w:line="240"/>
        <w:rPr>
          <w:rFonts w:ascii="Times New Roman" w:cs="Times New Roman" w:hAnsi="Times New Roman"/>
          <w:sz w:val="24"/>
          <w:szCs w:val="24"/>
        </w:rPr>
      </w:pPr>
    </w:p>
    <w:p w14:paraId="00000018">
      <w:pPr>
        <w:spacing w:line="240"/>
        <w:jc w:val="center"/>
        <w:rPr>
          <w:rFonts w:ascii="Times New Roman" w:cs="Times New Roman" w:hAnsi="Times New Roman"/>
          <w:sz w:val="24"/>
          <w:szCs w:val="24"/>
          <w:lang w:val="ru-RU"/>
        </w:rPr>
      </w:pPr>
      <w:r>
        <w:rPr>
          <w:rFonts w:ascii="Times New Roman" w:cs="Times New Roman" w:hAnsi="Times New Roman"/>
          <w:sz w:val="24"/>
          <w:szCs w:val="24"/>
          <w:lang w:val="ru-RU"/>
        </w:rPr>
        <w:t>Список использованных источников</w:t>
      </w:r>
    </w:p>
    <w:p w14:paraId="00000019">
      <w:pPr>
        <w:spacing w:line="240"/>
        <w:rPr>
          <w:rFonts w:ascii="Times New Roman" w:cs="Times New Roman" w:hAnsi="Times New Roman"/>
          <w:sz w:val="24"/>
          <w:szCs w:val="24"/>
        </w:rPr>
      </w:pPr>
    </w:p>
    <w:p w14:paraId="0000001A">
      <w:pPr>
        <w:spacing w:line="240"/>
        <w:rPr>
          <w:rFonts w:ascii="Times New Roman" w:cs="Times New Roman" w:hAnsi="Times New Roman"/>
          <w:sz w:val="24"/>
          <w:szCs w:val="24"/>
          <w:lang w:val="ru-RU"/>
        </w:rPr>
      </w:pPr>
      <w:r>
        <w:rPr>
          <w:rFonts w:ascii="Times New Roman" w:cs="Times New Roman" w:hAnsi="Times New Roman"/>
          <w:sz w:val="24"/>
          <w:szCs w:val="24"/>
          <w:lang w:val="ru-RU"/>
        </w:rPr>
        <w:t>1. Решение Совета Евразийской экономической комиссии от 16.07.2012 № 54 (ред. от 14.09.2021)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 URL: http://www.eaeunion.org/ (дата обращения: 01.04.2026).</w:t>
      </w:r>
    </w:p>
    <w:p w14:paraId="0000001B">
      <w:pPr>
        <w:spacing w:line="240"/>
        <w:rPr>
          <w:rFonts w:ascii="Times New Roman" w:cs="Times New Roman" w:hAnsi="Times New Roman"/>
          <w:sz w:val="24"/>
          <w:szCs w:val="24"/>
        </w:rPr>
      </w:pPr>
    </w:p>
    <w:p w14:paraId="0000001C">
      <w:pPr>
        <w:spacing w:line="240"/>
        <w:rPr>
          <w:rFonts w:ascii="Times New Roman" w:cs="Times New Roman" w:hAnsi="Times New Roman"/>
          <w:sz w:val="24"/>
          <w:szCs w:val="24"/>
          <w:lang w:val="ru-RU"/>
        </w:rPr>
      </w:pPr>
      <w:r>
        <w:rPr>
          <w:rFonts w:ascii="Times New Roman" w:cs="Times New Roman" w:hAnsi="Times New Roman"/>
          <w:sz w:val="24"/>
          <w:szCs w:val="24"/>
          <w:lang w:val="ru-RU"/>
        </w:rPr>
        <w:t>2. Решение Коллегии Евразийской экономической комиссии от 21.04.2015 № 30 (ред. от 14.11.2023) «О мерах нетарифного регулирования» // Официальный интернет-портал правовой информации. – URL: http://pravo.gov.ru/ (дата обращения: 01.04.2026).</w:t>
      </w:r>
    </w:p>
    <w:p w14:paraId="0000001D">
      <w:pPr>
        <w:spacing w:line="240"/>
        <w:rPr>
          <w:rFonts w:ascii="Times New Roman" w:cs="Times New Roman" w:hAnsi="Times New Roman"/>
          <w:sz w:val="24"/>
          <w:szCs w:val="24"/>
        </w:rPr>
      </w:pPr>
    </w:p>
    <w:p w14:paraId="0000001E">
      <w:pPr>
        <w:spacing w:line="240"/>
        <w:rPr>
          <w:rFonts w:ascii="Times New Roman" w:cs="Times New Roman" w:hAnsi="Times New Roman"/>
          <w:sz w:val="24"/>
          <w:szCs w:val="24"/>
          <w:lang w:val="ru-RU"/>
        </w:rPr>
      </w:pPr>
      <w:r>
        <w:rPr>
          <w:rFonts w:ascii="Times New Roman" w:cs="Times New Roman" w:hAnsi="Times New Roman"/>
          <w:sz w:val="24"/>
          <w:szCs w:val="24"/>
          <w:lang w:val="ru-RU"/>
        </w:rPr>
        <w:t>3. Пояснения к Товарной номенклатуре внешнеэкономической деятельности Евразийского экономического союза (ТН ВЭД ЕАЭС). – Том III. – Раздел X. – Группа 49. – М.: Издательство «Юрайт», 2024. – С. 245-247.</w:t>
      </w:r>
    </w:p>
    <w:p w14:paraId="0000001F">
      <w:pPr>
        <w:spacing w:line="240"/>
        <w:rPr>
          <w:rFonts w:ascii="Times New Roman" w:cs="Times New Roman" w:hAnsi="Times New Roman"/>
          <w:sz w:val="24"/>
          <w:szCs w:val="24"/>
        </w:rPr>
      </w:pPr>
    </w:p>
    <w:p w14:paraId="00000020">
      <w:pPr>
        <w:spacing w:line="240"/>
        <w:rPr>
          <w:rFonts w:ascii="Times New Roman" w:cs="Times New Roman" w:hAnsi="Times New Roman"/>
          <w:sz w:val="24"/>
          <w:szCs w:val="24"/>
          <w:lang w:val="ru-RU"/>
        </w:rPr>
      </w:pPr>
      <w:r>
        <w:rPr>
          <w:rFonts w:ascii="Times New Roman" w:cs="Times New Roman" w:hAnsi="Times New Roman"/>
          <w:sz w:val="24"/>
          <w:szCs w:val="24"/>
          <w:lang w:val="ru-RU"/>
        </w:rPr>
        <w:t>4. Постановление Арбитражного суда Дальневосточного округа от 15.02.2023 № Ф03-456/2023 по делу № А51-12345/2022. – Текст : электронный // Картотека арбитражных дел. – URL: https://kad.arbitr.ru/ (дата обращения: 01.04.2026).</w:t>
      </w:r>
    </w:p>
    <w:p w14:paraId="00000021">
      <w:pPr>
        <w:spacing w:line="240"/>
        <w:rPr>
          <w:rFonts w:ascii="Times New Roman" w:cs="Times New Roman" w:hAnsi="Times New Roman"/>
          <w:sz w:val="24"/>
          <w:szCs w:val="24"/>
        </w:rPr>
      </w:pPr>
    </w:p>
    <w:sectPr>
      <w:footnote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ru-RU"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pBdr>
          <w:top w:val="none" w:sz="4" w:space="0"/>
          <w:left w:val="none" w:sz="4" w:space="0"/>
          <w:bottom w:val="none" w:sz="4" w:space="0"/>
          <w:right w:val="none" w:sz="4" w:space="0"/>
          <w:between w:val="none" w:sz="4" w:space="0"/>
          <w:bar w:val="none" w:sz="4" w:space="0"/>
        </w:pBdr>
        <w:shd w:val="clear"/>
        <w:spacing w:after="0" w:line="360" w:lineRule="auto"/>
        <w:jc w:val="both"/>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coreProperties>
</file>