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A0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174C">
        <w:rPr>
          <w:rFonts w:ascii="Times New Roman" w:hAnsi="Times New Roman" w:cs="Times New Roman"/>
          <w:sz w:val="24"/>
          <w:szCs w:val="24"/>
        </w:rPr>
        <w:t xml:space="preserve">Кадровый дефицит в </w:t>
      </w:r>
      <w:r w:rsidR="00CE5835">
        <w:rPr>
          <w:rFonts w:ascii="Times New Roman" w:hAnsi="Times New Roman" w:cs="Times New Roman"/>
          <w:sz w:val="24"/>
          <w:szCs w:val="24"/>
        </w:rPr>
        <w:t>учтено – аналитической сфере</w:t>
      </w:r>
      <w:r w:rsidRPr="0073174C">
        <w:rPr>
          <w:rFonts w:ascii="Times New Roman" w:hAnsi="Times New Roman" w:cs="Times New Roman"/>
          <w:sz w:val="24"/>
          <w:szCs w:val="24"/>
        </w:rPr>
        <w:t xml:space="preserve"> — эта </w:t>
      </w:r>
      <w:r w:rsidR="00CE5835">
        <w:rPr>
          <w:rFonts w:ascii="Times New Roman" w:hAnsi="Times New Roman" w:cs="Times New Roman"/>
          <w:sz w:val="24"/>
          <w:szCs w:val="24"/>
        </w:rPr>
        <w:t xml:space="preserve">проблема </w:t>
      </w:r>
      <w:r w:rsidRPr="0073174C">
        <w:rPr>
          <w:rFonts w:ascii="Times New Roman" w:hAnsi="Times New Roman" w:cs="Times New Roman"/>
          <w:sz w:val="24"/>
          <w:szCs w:val="24"/>
        </w:rPr>
        <w:t xml:space="preserve">не носит острого характера, однако остаётся значимой и требует мониторинга и принятия мер для ее решения. </w:t>
      </w:r>
      <w:r w:rsidR="00BD2DA0">
        <w:rPr>
          <w:rFonts w:ascii="Times New Roman" w:hAnsi="Times New Roman" w:cs="Times New Roman"/>
          <w:sz w:val="24"/>
          <w:szCs w:val="24"/>
        </w:rPr>
        <w:t xml:space="preserve">С одной стороны </w:t>
      </w:r>
      <w:r w:rsidRPr="0073174C">
        <w:rPr>
          <w:rFonts w:ascii="Times New Roman" w:hAnsi="Times New Roman" w:cs="Times New Roman"/>
          <w:sz w:val="24"/>
          <w:szCs w:val="24"/>
        </w:rPr>
        <w:t xml:space="preserve">рынок труда переполнен дипломированными специалистами, но компании не могут найти подходящих сотрудников. Почему так происходит? </w:t>
      </w:r>
      <w:r w:rsidR="00CE5835">
        <w:rPr>
          <w:rFonts w:ascii="Times New Roman" w:hAnsi="Times New Roman" w:cs="Times New Roman"/>
          <w:sz w:val="24"/>
          <w:szCs w:val="24"/>
        </w:rPr>
        <w:t>Е</w:t>
      </w:r>
      <w:r w:rsidRPr="0073174C">
        <w:rPr>
          <w:rFonts w:ascii="Times New Roman" w:hAnsi="Times New Roman" w:cs="Times New Roman"/>
          <w:sz w:val="24"/>
          <w:szCs w:val="24"/>
        </w:rPr>
        <w:t xml:space="preserve">сть сразу несколько причин, и большинство из них связаны с тем, что требования работодателей сильно расходятся с тем, что преподают в вузах и что готовы делать молодые специалисты за небольшой стартовый оклад при большом спектре обязанностей. </w:t>
      </w:r>
    </w:p>
    <w:p w:rsidR="00CE5835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 xml:space="preserve">Кадровый дефицит — это состояние рынка труда, при котором спрос на определённые категории работников существенно превышает предложение. По данным Росстата за 2024 год, дефицит квалифицированных специалистов в этой области достиг 27% от общего числа вакансий в финансовом секторе. Особенно остро нехватка ощущается в регионах: в малых городах и сёлах доля незакрытых позиций доходит до 40% [2]. </w:t>
      </w:r>
    </w:p>
    <w:p w:rsidR="00CE5835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 xml:space="preserve">Актуальность темы подтверждается несколькими факторами: </w:t>
      </w:r>
    </w:p>
    <w:p w:rsidR="00CE5835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>. Внедрение ERP</w:t>
      </w:r>
      <w:r w:rsidRPr="0073174C">
        <w:rPr>
          <w:rFonts w:ascii="Times New Roman" w:hAnsi="Times New Roman" w:cs="Times New Roman"/>
          <w:sz w:val="24"/>
          <w:szCs w:val="24"/>
        </w:rPr>
        <w:noBreakHyphen/>
        <w:t>систем и BI</w:t>
      </w:r>
      <w:r w:rsidRPr="0073174C">
        <w:rPr>
          <w:rFonts w:ascii="Times New Roman" w:hAnsi="Times New Roman" w:cs="Times New Roman"/>
          <w:sz w:val="24"/>
          <w:szCs w:val="24"/>
        </w:rPr>
        <w:noBreakHyphen/>
        <w:t xml:space="preserve">инструментов требует от бухгалтеров и аналитиков новых компетенций. По данным исследования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PwC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 (2023), 68% компаний уже используют автоматизированные системы учёта, но только 32% сотрудников прошли соответствующее обучение [4]. </w:t>
      </w:r>
    </w:p>
    <w:p w:rsidR="00CE5835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>2. Изменения в законодательстве. С 2022 года вступили в силу поправки в Федеральный закон № 402</w:t>
      </w:r>
      <w:r w:rsidRPr="0073174C">
        <w:rPr>
          <w:rFonts w:ascii="Times New Roman" w:hAnsi="Times New Roman" w:cs="Times New Roman"/>
          <w:sz w:val="24"/>
          <w:szCs w:val="24"/>
        </w:rPr>
        <w:noBreakHyphen/>
        <w:t xml:space="preserve">ФЗ «О бухгалтерском учёте», касающиеся обязательного ведения электронного документооборота, ужесточения требований к составлению отчётности и усиления ответственности за её достоверность [1]. Это повысило нагрузку на специалистов. </w:t>
      </w:r>
    </w:p>
    <w:p w:rsidR="00CE5835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 xml:space="preserve">В современном мире обязательное требование — цифровая грамотность. </w:t>
      </w:r>
      <w:proofErr w:type="gramStart"/>
      <w:r w:rsidRPr="0073174C">
        <w:rPr>
          <w:rFonts w:ascii="Times New Roman" w:hAnsi="Times New Roman" w:cs="Times New Roman"/>
          <w:sz w:val="24"/>
          <w:szCs w:val="24"/>
        </w:rPr>
        <w:t>Специалист должен владеть ERP</w:t>
      </w:r>
      <w:r w:rsidRPr="0073174C">
        <w:rPr>
          <w:rFonts w:ascii="Times New Roman" w:hAnsi="Times New Roman" w:cs="Times New Roman"/>
          <w:sz w:val="24"/>
          <w:szCs w:val="24"/>
        </w:rPr>
        <w:noBreakHyphen/>
        <w:t xml:space="preserve">системами (1C:Предприятие 8.3, SAP ERP,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Oracle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Fusion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>), BI</w:t>
      </w:r>
      <w:r w:rsidRPr="0073174C">
        <w:rPr>
          <w:rFonts w:ascii="Times New Roman" w:hAnsi="Times New Roman" w:cs="Times New Roman"/>
          <w:sz w:val="24"/>
          <w:szCs w:val="24"/>
        </w:rPr>
        <w:noBreakHyphen/>
        <w:t>инструментами (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 BI,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Tableau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Qlik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), а также углублёнными навыками работы с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174C">
        <w:rPr>
          <w:rFonts w:ascii="Times New Roman" w:hAnsi="Times New Roman" w:cs="Times New Roman"/>
          <w:sz w:val="24"/>
          <w:szCs w:val="24"/>
        </w:rPr>
        <w:t xml:space="preserve"> По данным опроса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SuperJob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 (2024), 75% работодателей при отборе кандидатов на позиции в учётных службах проверяют навыки работы с BI</w:t>
      </w:r>
      <w:r w:rsidRPr="0073174C">
        <w:rPr>
          <w:rFonts w:ascii="Times New Roman" w:hAnsi="Times New Roman" w:cs="Times New Roman"/>
          <w:sz w:val="24"/>
          <w:szCs w:val="24"/>
        </w:rPr>
        <w:noBreakHyphen/>
        <w:t>системами. При этом только 40% выпускников экономических факультетов имеют опыт работы с этими инструментами [6]. Вузы часто дают устаревшие знания: например, только 25% образовательных программ включают изучение BI</w:t>
      </w:r>
      <w:r w:rsidRPr="0073174C">
        <w:rPr>
          <w:rFonts w:ascii="Times New Roman" w:hAnsi="Times New Roman" w:cs="Times New Roman"/>
          <w:sz w:val="24"/>
          <w:szCs w:val="24"/>
        </w:rPr>
        <w:noBreakHyphen/>
        <w:t xml:space="preserve">инструментов (данные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, 2024) [3]. Это приводит к разрыву между теорией и практикой. Работодатели же требуют готовых решений «здесь и сейчас», редко инвестируя в обучение молодых специалистов. </w:t>
      </w:r>
    </w:p>
    <w:p w:rsidR="00CE5835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 xml:space="preserve">Для объективной оценки ситуации был проведён анализ базовых вакансий на должность бухгалтера на платформе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HeadHunter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 (hh.ru) по состоянию на март 2026 года [9]. </w:t>
      </w:r>
      <w:r w:rsidR="00CE5835">
        <w:rPr>
          <w:rFonts w:ascii="Times New Roman" w:hAnsi="Times New Roman" w:cs="Times New Roman"/>
          <w:sz w:val="24"/>
          <w:szCs w:val="24"/>
        </w:rPr>
        <w:t>Р</w:t>
      </w:r>
      <w:r w:rsidRPr="0073174C">
        <w:rPr>
          <w:rFonts w:ascii="Times New Roman" w:hAnsi="Times New Roman" w:cs="Times New Roman"/>
          <w:sz w:val="24"/>
          <w:szCs w:val="24"/>
        </w:rPr>
        <w:t xml:space="preserve">аботодателя не устраивает отсутствие опыта работы у выпускников. А выпускники не заинтересованы в трудоустройстве на условиях низкой оплаты труда, если она ниже уровня дохода на предыдущих непрофильных позициях (например, в сфере обслуживания или курьерской деятельности). </w:t>
      </w:r>
    </w:p>
    <w:p w:rsidR="00CE5835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 xml:space="preserve">В 2023 году ПАО «Газпром» запустило программу переобучения бухгалтеров основам RPA (роботизации процессов). За год 200 сотрудников освоили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UiPath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>, что позволило автоматизировать 60% рутинных операций. Они получили навыки работы с RPA, что повысило их ценность на рынке труда и внутри компании. Рутинные операции (например, обработка данных, формирование отчётов, сверка информации) были автоматизированы, но сотрудники не потеряли работу. Их освободившееся время направили на более сложные и аналитические задачи: контроль качества работы роботов; анализ данных для принятия управленческих решений; разработка и оптимизация новых бизнес-процессов. [8]. Этот пример показывает эффективность внутреннего обучения и его положительное влияние на</w:t>
      </w:r>
      <w:r w:rsidR="00CE5835">
        <w:rPr>
          <w:rFonts w:ascii="Times New Roman" w:hAnsi="Times New Roman" w:cs="Times New Roman"/>
          <w:sz w:val="24"/>
          <w:szCs w:val="24"/>
        </w:rPr>
        <w:t xml:space="preserve"> производительность. Результат </w:t>
      </w:r>
      <w:r w:rsidRPr="0073174C">
        <w:rPr>
          <w:rFonts w:ascii="Times New Roman" w:hAnsi="Times New Roman" w:cs="Times New Roman"/>
          <w:sz w:val="24"/>
          <w:szCs w:val="24"/>
        </w:rPr>
        <w:t xml:space="preserve">впечатляющий. Но </w:t>
      </w:r>
      <w:r w:rsidR="00CE5835">
        <w:rPr>
          <w:rFonts w:ascii="Times New Roman" w:hAnsi="Times New Roman" w:cs="Times New Roman"/>
          <w:sz w:val="24"/>
          <w:szCs w:val="24"/>
        </w:rPr>
        <w:t xml:space="preserve">это может позволить себе </w:t>
      </w:r>
      <w:r w:rsidRPr="0073174C">
        <w:rPr>
          <w:rFonts w:ascii="Times New Roman" w:hAnsi="Times New Roman" w:cs="Times New Roman"/>
          <w:sz w:val="24"/>
          <w:szCs w:val="24"/>
        </w:rPr>
        <w:t xml:space="preserve">крупная компания с большими ресурсами. </w:t>
      </w:r>
    </w:p>
    <w:p w:rsidR="00EE04D0" w:rsidRDefault="00CE5835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73174C" w:rsidRPr="0073174C">
        <w:rPr>
          <w:rFonts w:ascii="Times New Roman" w:hAnsi="Times New Roman" w:cs="Times New Roman"/>
          <w:sz w:val="24"/>
          <w:szCs w:val="24"/>
        </w:rPr>
        <w:t xml:space="preserve">адровый голод в учётно-аналитической сфере — это системная проблема. </w:t>
      </w:r>
      <w:r w:rsidR="00EE04D0">
        <w:rPr>
          <w:rFonts w:ascii="Times New Roman" w:hAnsi="Times New Roman" w:cs="Times New Roman"/>
          <w:sz w:val="24"/>
          <w:szCs w:val="24"/>
        </w:rPr>
        <w:t xml:space="preserve">Выделим </w:t>
      </w:r>
      <w:r w:rsidR="0073174C" w:rsidRPr="0073174C">
        <w:rPr>
          <w:rFonts w:ascii="Times New Roman" w:hAnsi="Times New Roman" w:cs="Times New Roman"/>
          <w:sz w:val="24"/>
          <w:szCs w:val="24"/>
        </w:rPr>
        <w:t xml:space="preserve">два главных противоречия: </w:t>
      </w:r>
    </w:p>
    <w:p w:rsidR="00EE04D0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 xml:space="preserve">1. Образование формирует фундаментальную базу для профессионального развития, однако работодатели предъявляют дополнительные требования к личностным качествам специалиста и углублённым компетенциям, специфичным для конкретной сферы деятельности компании. Бизнес хочет готовых специалистов, но не готов их растить. Особенно это видно по вакансиям: требуют много, платят мало. </w:t>
      </w:r>
    </w:p>
    <w:p w:rsidR="00EE04D0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>2. Для повышения эффективности трудоустройства молодых специалистов необходим новый подход, предусматривающий: Внедрение системы поощрений (подъёмные выплаты, надбавки, программы наставничества, социальные льготы), чтобы повысить привлекательность вакансий для выпускников</w:t>
      </w:r>
      <w:r w:rsidR="00EE04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E04D0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 xml:space="preserve">Развитие целевого обучения в вузах — согласование образовательных программ с потребностями работодателей, организация стажировок и заключение договоров с гарантией трудоустройства. Реализация этих мер позволит сформировать взаимное доверие между молодыми специалистами и работодателями, сократить период адаптации новых сотрудников и обеспечить соответствие компетенций выпускников требованиям рынка труда. </w:t>
      </w:r>
    </w:p>
    <w:p w:rsidR="00EE04D0" w:rsidRDefault="00EE04D0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4D0" w:rsidRPr="00EE04D0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4D0">
        <w:rPr>
          <w:rFonts w:ascii="Times New Roman" w:hAnsi="Times New Roman" w:cs="Times New Roman"/>
          <w:sz w:val="24"/>
          <w:szCs w:val="24"/>
        </w:rPr>
        <w:t xml:space="preserve">Список использованной литературы </w:t>
      </w:r>
    </w:p>
    <w:p w:rsidR="00EE04D0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 xml:space="preserve">1. Федеральный закон от 06.12.2011 № 402-ФЗ (ред. от 26.12.2024) «О бухгалтерском учёте» // Собрание законодательства РФ. – 2011. – № 50. – Ст. 7344. </w:t>
      </w:r>
    </w:p>
    <w:p w:rsidR="00EE04D0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 xml:space="preserve">2. Федеральная служба государственной статистики (Росстат). Информация о дефиците квалифицированных специалистов в финансовом секторе за 2024 год [Электронный ресурс]. – Режим доступа: https://rosstat.gov.ru/labour_market_2024 (дата обращения: 20.03.2026). </w:t>
      </w:r>
    </w:p>
    <w:p w:rsidR="00EE04D0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>3. Министерство науки и высшего образования РФ (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>). Мониторинг качества подготовки кадров по экономическим направлениям. Анализ содержания образовательных программ в части цифровых компетенций</w:t>
      </w:r>
      <w:proofErr w:type="gramStart"/>
      <w:r w:rsidRPr="007317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3174C">
        <w:rPr>
          <w:rFonts w:ascii="Times New Roman" w:hAnsi="Times New Roman" w:cs="Times New Roman"/>
          <w:sz w:val="24"/>
          <w:szCs w:val="24"/>
        </w:rPr>
        <w:t xml:space="preserve"> отчет за 2024 год. – М., 2024. – 112 с. – Режим доступа: https://minobrnauki.gov.ru/analytics/edu2024 (дата обращения: 20.03.2026). </w:t>
      </w:r>
    </w:p>
    <w:p w:rsidR="00EE04D0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PwC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PricewaterhouseCoopers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Readiness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>: Трансформация финансовой функции в России и мире</w:t>
      </w:r>
      <w:proofErr w:type="gramStart"/>
      <w:r w:rsidRPr="007317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3174C">
        <w:rPr>
          <w:rFonts w:ascii="Times New Roman" w:hAnsi="Times New Roman" w:cs="Times New Roman"/>
          <w:sz w:val="24"/>
          <w:szCs w:val="24"/>
        </w:rPr>
        <w:t xml:space="preserve"> аналитический отчет /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PwC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. – М., 2023. – 45 с. – Режим доступа: https://www.pwc.ru/ru/digital-readiness-2023 (дата обращения: 20.03.2026). </w:t>
      </w:r>
    </w:p>
    <w:p w:rsidR="00EE04D0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SuperJob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. Исследование компетенций соискателей в финансовом секторе: востребованность BI-систем и уровень подготовки выпускников [Электронный ресурс]. – Режим доступа: https://www.superjob.ru/research/bicompetencies-2024 (дата обращения: 20.03.2026). </w:t>
      </w:r>
    </w:p>
    <w:p w:rsidR="00EE04D0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>6. ПАО «Магнит». Годовой отчет за 2023 год. Раздел «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 бизнес-процессов и обучение персонала». – Краснодар, 2024. – С. 78–82. – Режим доступа: https://www.magnit.com/investors/annual-reports/2023 (дата обращения: 20.03.2026). </w:t>
      </w:r>
    </w:p>
    <w:p w:rsidR="00EE04D0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 xml:space="preserve">7. ПАО «Газпром». Отчет о реализации программы цифровой трансформации 2023: внедрение роботизации процессов (RPA) в корпоративных функциях // Вестник Газпрома. – 2024. – № 2. – С. 34–37. – Режим доступа: https://www.gazprom.ru/press/reports/2023-digital (дата обращения: 20.03.2026). </w:t>
      </w:r>
    </w:p>
    <w:p w:rsidR="0073174C" w:rsidRPr="0073174C" w:rsidRDefault="0073174C" w:rsidP="00CE58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174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HeadHunter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 (hh.ru). Подборка вакансий по специализации «Бухгалтерия» (базовый уровень) с требованиями к кандидатам и условиями оплаты труда [Электронный ресурс]. – Режим доступа: https://hh.ru/search/vacancy?area=1&amp;specialization=1.221 (дата обращения: 20.03.2026). 9.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Сальса</w:t>
      </w:r>
      <w:proofErr w:type="spellEnd"/>
      <w:proofErr w:type="gramStart"/>
      <w:r w:rsidRPr="007317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3174C">
        <w:rPr>
          <w:rFonts w:ascii="Times New Roman" w:hAnsi="Times New Roman" w:cs="Times New Roman"/>
          <w:sz w:val="24"/>
          <w:szCs w:val="24"/>
        </w:rPr>
        <w:t xml:space="preserve"> художественный сериал :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реж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>. Д. Тюрин. – Россия</w:t>
      </w:r>
      <w:proofErr w:type="gramStart"/>
      <w:r w:rsidRPr="007317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3174C">
        <w:rPr>
          <w:rFonts w:ascii="Times New Roman" w:hAnsi="Times New Roman" w:cs="Times New Roman"/>
          <w:sz w:val="24"/>
          <w:szCs w:val="24"/>
        </w:rPr>
        <w:t xml:space="preserve"> Студия «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74C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73174C">
        <w:rPr>
          <w:rFonts w:ascii="Times New Roman" w:hAnsi="Times New Roman" w:cs="Times New Roman"/>
          <w:sz w:val="24"/>
          <w:szCs w:val="24"/>
        </w:rPr>
        <w:t>» (YBW)</w:t>
      </w:r>
      <w:proofErr w:type="gramStart"/>
      <w:r w:rsidRPr="0073174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3174C">
        <w:rPr>
          <w:rFonts w:ascii="Times New Roman" w:hAnsi="Times New Roman" w:cs="Times New Roman"/>
          <w:sz w:val="24"/>
          <w:szCs w:val="24"/>
        </w:rPr>
        <w:t xml:space="preserve"> телеканал «Россия-1», 2024.</w:t>
      </w:r>
    </w:p>
    <w:sectPr w:rsidR="0073174C" w:rsidRPr="0073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74C"/>
    <w:rsid w:val="00061BBA"/>
    <w:rsid w:val="0073174C"/>
    <w:rsid w:val="00737FE5"/>
    <w:rsid w:val="007A5143"/>
    <w:rsid w:val="009F4BFD"/>
    <w:rsid w:val="00BB2608"/>
    <w:rsid w:val="00BD2DA0"/>
    <w:rsid w:val="00CE5835"/>
    <w:rsid w:val="00EB0539"/>
    <w:rsid w:val="00E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9F4BFD"/>
  </w:style>
  <w:style w:type="paragraph" w:styleId="1">
    <w:name w:val="heading 1"/>
    <w:basedOn w:val="a"/>
    <w:next w:val="a"/>
    <w:link w:val="10"/>
    <w:uiPriority w:val="9"/>
    <w:qFormat/>
    <w:rsid w:val="009F4B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4B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4B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F4BF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F4BF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F4B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F4BF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F4BF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F4BF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4B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4B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F4B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F4B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F4B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F4BFD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9F4BFD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9F4BFD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9F4BFD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F4B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F4BF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F4B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F4B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F4BFD"/>
    <w:rPr>
      <w:b/>
      <w:bCs/>
    </w:rPr>
  </w:style>
  <w:style w:type="character" w:styleId="a9">
    <w:name w:val="Emphasis"/>
    <w:basedOn w:val="a0"/>
    <w:uiPriority w:val="20"/>
    <w:qFormat/>
    <w:rsid w:val="009F4BFD"/>
    <w:rPr>
      <w:i/>
      <w:iCs/>
    </w:rPr>
  </w:style>
  <w:style w:type="paragraph" w:styleId="aa">
    <w:name w:val="No Spacing"/>
    <w:uiPriority w:val="1"/>
    <w:qFormat/>
    <w:rsid w:val="009F4BF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F4B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4B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F4BFD"/>
    <w:rPr>
      <w:i/>
    </w:rPr>
  </w:style>
  <w:style w:type="paragraph" w:styleId="ac">
    <w:name w:val="Intense Quote"/>
    <w:basedOn w:val="a"/>
    <w:next w:val="a"/>
    <w:link w:val="ad"/>
    <w:uiPriority w:val="30"/>
    <w:qFormat/>
    <w:rsid w:val="009F4B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sid w:val="009F4BFD"/>
    <w:rPr>
      <w:i/>
      <w:shd w:val="clear" w:color="auto" w:fill="F2F2F2"/>
    </w:rPr>
  </w:style>
  <w:style w:type="character" w:styleId="ae">
    <w:name w:val="Subtle Emphasis"/>
    <w:basedOn w:val="a0"/>
    <w:uiPriority w:val="19"/>
    <w:qFormat/>
    <w:rsid w:val="009F4BF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F4BFD"/>
    <w:rPr>
      <w:b/>
      <w:bCs/>
      <w:i/>
      <w:iCs/>
      <w:color w:val="4F81BD" w:themeColor="accent1"/>
    </w:rPr>
  </w:style>
  <w:style w:type="character" w:styleId="af0">
    <w:name w:val="Intense Reference"/>
    <w:basedOn w:val="a0"/>
    <w:uiPriority w:val="32"/>
    <w:qFormat/>
    <w:rsid w:val="009F4BFD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qFormat/>
    <w:rsid w:val="009F4BFD"/>
  </w:style>
  <w:style w:type="paragraph" w:styleId="1">
    <w:name w:val="heading 1"/>
    <w:basedOn w:val="a"/>
    <w:next w:val="a"/>
    <w:link w:val="10"/>
    <w:uiPriority w:val="9"/>
    <w:qFormat/>
    <w:rsid w:val="009F4B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4B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4B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F4BF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F4BF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F4B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F4BF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F4BF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F4BF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4B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4B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F4B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F4B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F4B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F4BFD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9F4BFD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9F4BFD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9F4BFD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F4B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F4BF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F4B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F4B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F4BFD"/>
    <w:rPr>
      <w:b/>
      <w:bCs/>
    </w:rPr>
  </w:style>
  <w:style w:type="character" w:styleId="a9">
    <w:name w:val="Emphasis"/>
    <w:basedOn w:val="a0"/>
    <w:uiPriority w:val="20"/>
    <w:qFormat/>
    <w:rsid w:val="009F4BFD"/>
    <w:rPr>
      <w:i/>
      <w:iCs/>
    </w:rPr>
  </w:style>
  <w:style w:type="paragraph" w:styleId="aa">
    <w:name w:val="No Spacing"/>
    <w:uiPriority w:val="1"/>
    <w:qFormat/>
    <w:rsid w:val="009F4BF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F4B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4B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F4BFD"/>
    <w:rPr>
      <w:i/>
    </w:rPr>
  </w:style>
  <w:style w:type="paragraph" w:styleId="ac">
    <w:name w:val="Intense Quote"/>
    <w:basedOn w:val="a"/>
    <w:next w:val="a"/>
    <w:link w:val="ad"/>
    <w:uiPriority w:val="30"/>
    <w:qFormat/>
    <w:rsid w:val="009F4B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sid w:val="009F4BFD"/>
    <w:rPr>
      <w:i/>
      <w:shd w:val="clear" w:color="auto" w:fill="F2F2F2"/>
    </w:rPr>
  </w:style>
  <w:style w:type="character" w:styleId="ae">
    <w:name w:val="Subtle Emphasis"/>
    <w:basedOn w:val="a0"/>
    <w:uiPriority w:val="19"/>
    <w:qFormat/>
    <w:rsid w:val="009F4BF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F4BFD"/>
    <w:rPr>
      <w:b/>
      <w:bCs/>
      <w:i/>
      <w:iCs/>
      <w:color w:val="4F81BD" w:themeColor="accent1"/>
    </w:rPr>
  </w:style>
  <w:style w:type="character" w:styleId="af0">
    <w:name w:val="Intense Reference"/>
    <w:basedOn w:val="a0"/>
    <w:uiPriority w:val="32"/>
    <w:qFormat/>
    <w:rsid w:val="009F4BF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853</Words>
  <Characters>6200</Characters>
  <Application>Microsoft Office Word</Application>
  <DocSecurity>0</DocSecurity>
  <Lines>102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Б</dc:creator>
  <cp:lastModifiedBy>Оля Б</cp:lastModifiedBy>
  <cp:revision>6</cp:revision>
  <dcterms:created xsi:type="dcterms:W3CDTF">2026-03-26T10:50:00Z</dcterms:created>
  <dcterms:modified xsi:type="dcterms:W3CDTF">2026-03-26T18:05:00Z</dcterms:modified>
</cp:coreProperties>
</file>