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FA" w:rsidRPr="00ED51FA" w:rsidRDefault="00ED51FA" w:rsidP="00ED51FA">
      <w:pPr>
        <w:spacing w:after="0" w:line="240" w:lineRule="auto"/>
        <w:ind w:left="-566" w:right="283"/>
        <w:jc w:val="center"/>
        <w:rPr>
          <w:rFonts w:ascii="Times New Roman" w:eastAsia="Times New Roman" w:hAnsi="Times New Roman" w:cs="Arial"/>
          <w:b/>
          <w:sz w:val="24"/>
          <w:lang w:eastAsia="ru-RU"/>
          <w14:ligatures w14:val="standardContextual"/>
        </w:rPr>
      </w:pPr>
      <w:r w:rsidRPr="00ED51FA">
        <w:rPr>
          <w:rFonts w:ascii="Times New Roman" w:eastAsia="Times New Roman" w:hAnsi="Times New Roman" w:cs="Arial"/>
          <w:b/>
          <w:sz w:val="24"/>
          <w:lang w:eastAsia="ru-RU"/>
          <w14:ligatures w14:val="standardContextual"/>
        </w:rPr>
        <w:t>ИНСТРУМЕНТАЛЬНЫЙ МАРКЕТИНГ ТЕРРИТОРИЙ В СИСТЕМЕ СТИМУЛИРОВАНИЯ РЕГИОНАЛЬНОГО ЭКОНОМИЧЕСКОГО РОСТА: АНАЛИЗ ЭФФЕКТИВНОСТИ ГОСУДАРСТВЕННЫХ МЕР</w:t>
      </w:r>
    </w:p>
    <w:p w:rsidR="003F5FA4" w:rsidRPr="003F5FA4" w:rsidRDefault="00ED51FA" w:rsidP="003F5FA4">
      <w:pPr>
        <w:spacing w:line="240" w:lineRule="auto"/>
        <w:ind w:left="-566" w:right="283"/>
        <w:jc w:val="center"/>
        <w:rPr>
          <w:rFonts w:ascii="Times New Roman" w:eastAsia="Circe" w:hAnsi="Times New Roman" w:cs="Circe"/>
          <w:sz w:val="24"/>
          <w:lang w:eastAsia="ru-RU"/>
          <w14:ligatures w14:val="standardContextual"/>
        </w:rPr>
      </w:pPr>
      <w:r w:rsidRPr="00ED51FA">
        <w:rPr>
          <w:rFonts w:ascii="Times New Roman" w:eastAsia="Times New Roman" w:hAnsi="Times New Roman" w:cs="Arial"/>
          <w:b/>
          <w:sz w:val="24"/>
          <w:lang w:eastAsia="ru-RU"/>
          <w14:ligatures w14:val="standardContextual"/>
        </w:rPr>
        <w:br/>
      </w:r>
      <w:r w:rsidR="003F5FA4" w:rsidRPr="003F5FA4">
        <w:rPr>
          <w:rFonts w:ascii="Times New Roman" w:eastAsia="Times New Roman" w:hAnsi="Times New Roman" w:cs="Arial"/>
          <w:b/>
          <w:sz w:val="24"/>
          <w:lang w:eastAsia="ru-RU"/>
          <w14:ligatures w14:val="standardContextual"/>
        </w:rPr>
        <w:t>Храбров Игорь Сергеевич</w:t>
      </w:r>
      <w:r w:rsidR="003F5FA4" w:rsidRPr="003F5FA4">
        <w:rPr>
          <w:rFonts w:ascii="Times New Roman" w:eastAsia="Times New Roman" w:hAnsi="Times New Roman" w:cs="Arial"/>
          <w:b/>
          <w:sz w:val="24"/>
          <w:lang w:eastAsia="ru-RU"/>
          <w14:ligatures w14:val="standardContextual"/>
        </w:rPr>
        <w:br/>
      </w:r>
      <w:r w:rsidR="003F5FA4" w:rsidRPr="003F5FA4">
        <w:rPr>
          <w:rFonts w:ascii="Times New Roman" w:eastAsia="Circe" w:hAnsi="Times New Roman" w:cs="Circe"/>
          <w:sz w:val="24"/>
          <w:lang w:eastAsia="ru-RU"/>
          <w14:ligatures w14:val="standardContextual"/>
        </w:rPr>
        <w:t>Аспирант</w:t>
      </w:r>
    </w:p>
    <w:p w:rsidR="003F5FA4" w:rsidRPr="003F5FA4" w:rsidRDefault="003F5FA4" w:rsidP="003F5FA4">
      <w:pPr>
        <w:spacing w:after="0" w:line="240" w:lineRule="auto"/>
        <w:ind w:left="-566" w:right="283"/>
        <w:jc w:val="center"/>
        <w:rPr>
          <w:rFonts w:ascii="Times New Roman" w:eastAsia="Circe" w:hAnsi="Times New Roman" w:cs="Circe"/>
          <w:sz w:val="24"/>
          <w:lang w:eastAsia="ru-RU"/>
          <w14:ligatures w14:val="standardContextual"/>
        </w:rPr>
      </w:pPr>
      <w:proofErr w:type="spellStart"/>
      <w:r w:rsidRPr="003F5FA4">
        <w:rPr>
          <w:rFonts w:ascii="Times New Roman" w:eastAsia="Circe" w:hAnsi="Times New Roman" w:cs="Circe"/>
          <w:sz w:val="24"/>
          <w:lang w:eastAsia="ru-RU"/>
          <w14:ligatures w14:val="standardContextual"/>
        </w:rPr>
        <w:t>Пиньковецкая</w:t>
      </w:r>
      <w:proofErr w:type="spellEnd"/>
      <w:r w:rsidRPr="003F5FA4">
        <w:rPr>
          <w:rFonts w:ascii="Times New Roman" w:eastAsia="Circe" w:hAnsi="Times New Roman" w:cs="Circe"/>
          <w:sz w:val="24"/>
          <w:lang w:eastAsia="ru-RU"/>
          <w14:ligatures w14:val="standardContextual"/>
        </w:rPr>
        <w:t xml:space="preserve"> Юлия Семеновна</w:t>
      </w:r>
    </w:p>
    <w:p w:rsidR="003F5FA4" w:rsidRPr="003F5FA4" w:rsidRDefault="003F5FA4" w:rsidP="003F5FA4">
      <w:pPr>
        <w:spacing w:after="0" w:line="240" w:lineRule="auto"/>
        <w:ind w:left="-566" w:right="283"/>
        <w:jc w:val="center"/>
        <w:rPr>
          <w:rFonts w:ascii="Times New Roman" w:eastAsia="Circe" w:hAnsi="Times New Roman" w:cs="Circe"/>
          <w:sz w:val="24"/>
          <w:lang w:eastAsia="ru-RU"/>
          <w14:ligatures w14:val="standardContextual"/>
        </w:rPr>
      </w:pPr>
      <w:r w:rsidRPr="003F5FA4">
        <w:rPr>
          <w:rFonts w:ascii="Times New Roman" w:eastAsia="Circe" w:hAnsi="Times New Roman" w:cs="Circe"/>
          <w:sz w:val="24"/>
          <w:lang w:eastAsia="ru-RU"/>
          <w14:ligatures w14:val="standardContextual"/>
        </w:rPr>
        <w:t>Научный руководитель, доцент, к.э.</w:t>
      </w:r>
      <w:proofErr w:type="gramStart"/>
      <w:r w:rsidRPr="003F5FA4">
        <w:rPr>
          <w:rFonts w:ascii="Times New Roman" w:eastAsia="Circe" w:hAnsi="Times New Roman" w:cs="Circe"/>
          <w:sz w:val="24"/>
          <w:lang w:eastAsia="ru-RU"/>
          <w14:ligatures w14:val="standardContextual"/>
        </w:rPr>
        <w:t>н</w:t>
      </w:r>
      <w:proofErr w:type="gramEnd"/>
      <w:r w:rsidRPr="003F5FA4">
        <w:rPr>
          <w:rFonts w:ascii="Times New Roman" w:eastAsia="Circe" w:hAnsi="Times New Roman" w:cs="Circe"/>
          <w:sz w:val="24"/>
          <w:lang w:eastAsia="ru-RU"/>
          <w14:ligatures w14:val="standardContextual"/>
        </w:rPr>
        <w:t>.</w:t>
      </w:r>
    </w:p>
    <w:p w:rsidR="003F5FA4" w:rsidRPr="003F5FA4" w:rsidRDefault="003F5FA4" w:rsidP="003F5FA4">
      <w:pPr>
        <w:spacing w:after="0" w:line="240" w:lineRule="auto"/>
        <w:ind w:left="-566" w:right="283"/>
        <w:jc w:val="center"/>
        <w:rPr>
          <w:rFonts w:ascii="Times New Roman" w:eastAsia="Circe" w:hAnsi="Times New Roman" w:cs="Circe"/>
          <w:sz w:val="24"/>
          <w:lang w:eastAsia="ru-RU"/>
          <w14:ligatures w14:val="standardContextual"/>
        </w:rPr>
      </w:pPr>
      <w:r w:rsidRPr="003F5FA4">
        <w:rPr>
          <w:rFonts w:ascii="Times New Roman" w:eastAsia="Circe" w:hAnsi="Times New Roman" w:cs="Circe"/>
          <w:sz w:val="24"/>
          <w:lang w:eastAsia="ru-RU"/>
          <w14:ligatures w14:val="standardContextual"/>
        </w:rPr>
        <w:t>Экономический фак</w:t>
      </w:r>
      <w:r>
        <w:rPr>
          <w:rFonts w:ascii="Times New Roman" w:eastAsia="Circe" w:hAnsi="Times New Roman" w:cs="Circe"/>
          <w:sz w:val="24"/>
          <w:lang w:eastAsia="ru-RU"/>
          <w14:ligatures w14:val="standardContextual"/>
        </w:rPr>
        <w:t>у</w:t>
      </w:r>
      <w:bookmarkStart w:id="0" w:name="_GoBack"/>
      <w:bookmarkEnd w:id="0"/>
      <w:r w:rsidRPr="003F5FA4">
        <w:rPr>
          <w:rFonts w:ascii="Times New Roman" w:eastAsia="Circe" w:hAnsi="Times New Roman" w:cs="Circe"/>
          <w:sz w:val="24"/>
          <w:lang w:eastAsia="ru-RU"/>
          <w14:ligatures w14:val="standardContextual"/>
        </w:rPr>
        <w:t>льтет</w:t>
      </w:r>
    </w:p>
    <w:p w:rsidR="003F5FA4" w:rsidRPr="00ED51FA" w:rsidRDefault="003F5FA4" w:rsidP="003F5FA4">
      <w:pPr>
        <w:spacing w:after="0" w:line="240" w:lineRule="auto"/>
        <w:ind w:left="-566" w:right="283"/>
        <w:jc w:val="center"/>
        <w:rPr>
          <w:rFonts w:ascii="Times New Roman" w:eastAsia="Circe" w:hAnsi="Times New Roman" w:cs="Circe"/>
          <w:sz w:val="24"/>
          <w:lang w:eastAsia="ru-RU"/>
          <w14:ligatures w14:val="standardContextual"/>
        </w:rPr>
      </w:pPr>
    </w:p>
    <w:p w:rsidR="00ED51FA" w:rsidRPr="00ED51FA" w:rsidRDefault="00ED51FA" w:rsidP="00ED51FA">
      <w:pPr>
        <w:spacing w:after="0" w:line="240" w:lineRule="auto"/>
        <w:ind w:left="-566" w:right="283"/>
        <w:jc w:val="center"/>
        <w:rPr>
          <w:rFonts w:ascii="Times New Roman" w:eastAsia="Circe" w:hAnsi="Times New Roman" w:cs="Circe"/>
          <w:sz w:val="24"/>
          <w:lang w:eastAsia="ru-RU"/>
          <w14:ligatures w14:val="standardContextual"/>
        </w:rPr>
      </w:pPr>
    </w:p>
    <w:p w:rsidR="00ED51FA" w:rsidRPr="00ED51FA" w:rsidRDefault="00ED51FA" w:rsidP="00ED51FA">
      <w:pPr>
        <w:spacing w:after="0" w:line="240" w:lineRule="auto"/>
        <w:ind w:left="-566" w:right="283"/>
        <w:jc w:val="center"/>
        <w:rPr>
          <w:rFonts w:ascii="Times New Roman" w:eastAsia="Circe" w:hAnsi="Times New Roman" w:cs="Circe"/>
          <w:sz w:val="24"/>
          <w:lang w:eastAsia="ru-RU"/>
          <w14:ligatures w14:val="standardContextual"/>
        </w:rPr>
      </w:pPr>
    </w:p>
    <w:p w:rsidR="00ED51FA" w:rsidRPr="00ED51FA" w:rsidRDefault="00ED51FA" w:rsidP="00ED51FA">
      <w:pPr>
        <w:spacing w:after="0" w:line="240" w:lineRule="auto"/>
        <w:ind w:left="-566" w:right="283" w:firstLine="708"/>
        <w:jc w:val="both"/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</w:pPr>
      <w:proofErr w:type="gramStart"/>
      <w:r w:rsidRPr="00ED51FA">
        <w:rPr>
          <w:rFonts w:ascii="Times New Roman" w:eastAsia="Times New Roman" w:hAnsi="Times New Roman" w:cs="Arial"/>
          <w:b/>
          <w:sz w:val="24"/>
          <w:lang w:eastAsia="ru-RU"/>
          <w14:ligatures w14:val="standardContextual"/>
        </w:rPr>
        <w:t xml:space="preserve">Ключевые слова: </w:t>
      </w:r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 xml:space="preserve">маркетинг территорий, инструментальный маркетинг, региональная экономика, инфраструктура, </w:t>
      </w:r>
      <w:proofErr w:type="spellStart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>брендинг</w:t>
      </w:r>
      <w:proofErr w:type="spellEnd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 xml:space="preserve"> территории, имидж, инвестиционная привлекательность, государственная политика, устойчивое развитие.</w:t>
      </w:r>
      <w:proofErr w:type="gramEnd"/>
    </w:p>
    <w:p w:rsidR="00ED51FA" w:rsidRPr="00ED51FA" w:rsidRDefault="00ED51FA" w:rsidP="00ED51FA">
      <w:pPr>
        <w:spacing w:after="0" w:line="240" w:lineRule="auto"/>
        <w:ind w:left="-566" w:right="283" w:firstLine="708"/>
        <w:jc w:val="both"/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</w:pPr>
    </w:p>
    <w:p w:rsidR="00ED51FA" w:rsidRPr="00ED51FA" w:rsidRDefault="00ED51FA" w:rsidP="00ED51FA">
      <w:pPr>
        <w:spacing w:after="0" w:line="240" w:lineRule="auto"/>
        <w:ind w:left="-566" w:right="283" w:firstLine="708"/>
        <w:jc w:val="both"/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</w:pPr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>Современные условия развития экономики характеризуются высокой территориальной дифференциацией, что требует поиска эффективных инструментов стимулирования регионального роста. Инструментальный маркетинг территорий обеспечивает системное воздействие на социально-экономическое развитие регионов, формируя устойчивые конкурентные преимущества и повышая инвестиционную привлекательность [5].</w:t>
      </w:r>
    </w:p>
    <w:p w:rsidR="00ED51FA" w:rsidRPr="00ED51FA" w:rsidRDefault="00ED51FA" w:rsidP="00ED51FA">
      <w:pPr>
        <w:spacing w:after="0" w:line="240" w:lineRule="auto"/>
        <w:ind w:left="-566" w:right="283" w:firstLine="566"/>
        <w:jc w:val="both"/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</w:pPr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 xml:space="preserve">Сегодняшняя экономическая ситуация отличается значительным территориальным неравенством, что вызывает необходимость разработки действенных механизмов для активизации регионального развития [6]. Одним из ключевых направлений выступает маркетинг инфраструктуры, создающий материальную и институциональную базу для экономической активности. Развитие транспортной, социальной и цифровой инфраструктуры снижает издержки ведения бизнеса, повышает мобильность ресурсов и улучшает качество жизни населения [1; 3; 7]. Инфраструктурный маркетинг рассматривается как фактор формирования конкурентных преимуществ муниципальных образований и социально-экономического развития регионов [3; 7]. </w:t>
      </w:r>
    </w:p>
    <w:p w:rsidR="00ED51FA" w:rsidRPr="00ED51FA" w:rsidRDefault="00ED51FA" w:rsidP="00ED51FA">
      <w:pPr>
        <w:spacing w:after="0" w:line="240" w:lineRule="auto"/>
        <w:ind w:left="-566" w:right="283" w:firstLine="708"/>
        <w:jc w:val="both"/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</w:pPr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 xml:space="preserve">Формирование положительного имиджа органов местного самоуправления представляет собой значимый инструмент в рамках маркетинга территорий. Разработка и реализация эффективной коммуникационной стратегии способствуют повышению уровня доверия со стороны предпринимательского сообщества и населения, созданию благоприятных условий для привлечения инвестиций и минимизации институциональных рисков [2]. </w:t>
      </w:r>
      <w:proofErr w:type="spellStart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>Брендинг</w:t>
      </w:r>
      <w:proofErr w:type="spellEnd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 xml:space="preserve"> территории формирует уникальный образ региона, отражающий его экономический потенциал, культурные особенности и конкурентные преимущества. Развитие </w:t>
      </w:r>
      <w:proofErr w:type="spellStart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>брендинговых</w:t>
      </w:r>
      <w:proofErr w:type="spellEnd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 xml:space="preserve"> стратегий повышает узнаваемость региона, стимулирует приток инвестиций и туристических потоков, укрепляя долгосрочные позиции на внутреннем и внешнем рынках [4].</w:t>
      </w:r>
    </w:p>
    <w:p w:rsidR="00ED51FA" w:rsidRPr="00ED51FA" w:rsidRDefault="00ED51FA" w:rsidP="00ED51FA">
      <w:pPr>
        <w:spacing w:after="0" w:line="240" w:lineRule="auto"/>
        <w:ind w:left="-566" w:right="283" w:firstLine="708"/>
        <w:jc w:val="both"/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</w:pPr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>Государственные меры, интегрированные в систему маркетинга территорий, включают территории опережающего развития, особые экономические зоны и национальные проекты «Цифровая экономика» и «Жильё и городская среда». Реализация проектов повышает инвестиционную активность, модернизирует инфраструктуру и улучшает качество жизни, что способствует устойчивому региональному росту [8].</w:t>
      </w:r>
    </w:p>
    <w:p w:rsidR="00ED51FA" w:rsidRPr="00ED51FA" w:rsidRDefault="00ED51FA" w:rsidP="00ED51FA">
      <w:pPr>
        <w:spacing w:after="0" w:line="240" w:lineRule="auto"/>
        <w:ind w:left="-495" w:right="283" w:firstLine="495"/>
        <w:jc w:val="both"/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</w:pPr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>Проведенный анализ выявил, что интегрированное применение инструментов территориального маркетинга, включающих инфраструктурные улучшения, формирование положительного имиджа и разработку бренда, способствует повышению экономической устойчивости и конкурентоспособности регионов. Успех государственных мер зависит от интеграции маркетинга в управление, что требует исследований и улучшения стратегий территориального развития.</w:t>
      </w:r>
    </w:p>
    <w:p w:rsidR="00ED51FA" w:rsidRPr="00ED51FA" w:rsidRDefault="00ED51FA" w:rsidP="00ED51FA">
      <w:pPr>
        <w:spacing w:after="0" w:line="240" w:lineRule="auto"/>
        <w:ind w:left="-495" w:right="283" w:firstLine="495"/>
        <w:jc w:val="both"/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</w:pPr>
    </w:p>
    <w:p w:rsidR="00ED51FA" w:rsidRPr="00ED51FA" w:rsidRDefault="00ED51FA" w:rsidP="00ED51FA">
      <w:pPr>
        <w:spacing w:after="0" w:line="240" w:lineRule="auto"/>
        <w:ind w:left="-566" w:right="283" w:firstLine="708"/>
        <w:jc w:val="both"/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</w:pPr>
    </w:p>
    <w:p w:rsidR="00ED51FA" w:rsidRPr="00ED51FA" w:rsidRDefault="00ED51FA" w:rsidP="00ED51FA">
      <w:pPr>
        <w:spacing w:after="0" w:line="240" w:lineRule="auto"/>
        <w:ind w:left="-566" w:right="283" w:firstLine="708"/>
        <w:jc w:val="center"/>
        <w:rPr>
          <w:rFonts w:ascii="Times New Roman" w:eastAsia="Times New Roman" w:hAnsi="Times New Roman" w:cs="Arial"/>
          <w:b/>
          <w:sz w:val="24"/>
          <w:lang w:eastAsia="ru-RU"/>
          <w14:ligatures w14:val="standardContextual"/>
        </w:rPr>
      </w:pPr>
      <w:r w:rsidRPr="00ED51FA">
        <w:rPr>
          <w:rFonts w:ascii="Times New Roman" w:eastAsia="Times New Roman" w:hAnsi="Times New Roman" w:cs="Arial"/>
          <w:b/>
          <w:sz w:val="24"/>
          <w:lang w:eastAsia="ru-RU"/>
          <w14:ligatures w14:val="standardContextual"/>
        </w:rPr>
        <w:t>Список литературы</w:t>
      </w:r>
    </w:p>
    <w:p w:rsidR="00ED51FA" w:rsidRPr="00ED51FA" w:rsidRDefault="00ED51FA" w:rsidP="00ED51FA">
      <w:pPr>
        <w:numPr>
          <w:ilvl w:val="0"/>
          <w:numId w:val="2"/>
        </w:numPr>
        <w:spacing w:after="0" w:line="240" w:lineRule="auto"/>
        <w:ind w:left="-566" w:right="283" w:firstLine="708"/>
        <w:jc w:val="both"/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</w:pPr>
      <w:proofErr w:type="spellStart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>Боталова</w:t>
      </w:r>
      <w:proofErr w:type="spellEnd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 xml:space="preserve"> М.Е. Маркетинг инфраструктуры как самостоятельное направление маркетинга территорий: Ключевые теоретические подходы, определения и проблемы // Экономика устойчивого развития. 2021. № 3(47). С. 31-41.</w:t>
      </w:r>
    </w:p>
    <w:p w:rsidR="00ED51FA" w:rsidRPr="00ED51FA" w:rsidRDefault="00ED51FA" w:rsidP="00ED51FA">
      <w:pPr>
        <w:numPr>
          <w:ilvl w:val="0"/>
          <w:numId w:val="2"/>
        </w:numPr>
        <w:spacing w:after="0" w:line="240" w:lineRule="auto"/>
        <w:ind w:left="-566" w:right="283" w:firstLine="708"/>
        <w:jc w:val="both"/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</w:pPr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>Иванов Е.Ю. Имидж органов местного самоуправления как элемент маркетинговой стратегии развития территории // Прогрессивная экономика. 2024. № 4. С. 185-193.</w:t>
      </w:r>
    </w:p>
    <w:p w:rsidR="00ED51FA" w:rsidRPr="00ED51FA" w:rsidRDefault="00ED51FA" w:rsidP="00ED51FA">
      <w:pPr>
        <w:numPr>
          <w:ilvl w:val="0"/>
          <w:numId w:val="2"/>
        </w:numPr>
        <w:spacing w:after="0" w:line="240" w:lineRule="auto"/>
        <w:ind w:left="-566" w:right="283" w:firstLine="708"/>
        <w:jc w:val="both"/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</w:pPr>
      <w:proofErr w:type="spellStart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>Костенников</w:t>
      </w:r>
      <w:proofErr w:type="spellEnd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 xml:space="preserve"> А.И. Маркетинг инфраструктуры как один из факторов развития конкурентных преимуществ муниципальных образований // </w:t>
      </w:r>
      <w:proofErr w:type="spellStart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>Kant</w:t>
      </w:r>
      <w:proofErr w:type="spellEnd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>. 2022. № 4 (45). С. 72-78.</w:t>
      </w:r>
    </w:p>
    <w:p w:rsidR="00ED51FA" w:rsidRPr="00ED51FA" w:rsidRDefault="00ED51FA" w:rsidP="00ED51FA">
      <w:pPr>
        <w:numPr>
          <w:ilvl w:val="0"/>
          <w:numId w:val="2"/>
        </w:numPr>
        <w:spacing w:after="0" w:line="240" w:lineRule="auto"/>
        <w:ind w:left="-566" w:right="283" w:firstLine="708"/>
        <w:jc w:val="both"/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</w:pPr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 xml:space="preserve">Киреева У.А., Киреева О.Ф. Бренд территорий в повышении конкурентоспособности регионов Российской Федерации / У.А. Киреева, О.Ф. Киреева // </w:t>
      </w:r>
      <w:proofErr w:type="spellStart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>Коммуникология</w:t>
      </w:r>
      <w:proofErr w:type="spellEnd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>: электронный научный журнал. - 2023. - Т. 8, № 2. - С. 79-86.</w:t>
      </w:r>
    </w:p>
    <w:p w:rsidR="00ED51FA" w:rsidRPr="00ED51FA" w:rsidRDefault="00ED51FA" w:rsidP="00ED51FA">
      <w:pPr>
        <w:numPr>
          <w:ilvl w:val="0"/>
          <w:numId w:val="2"/>
        </w:numPr>
        <w:spacing w:after="0" w:line="240" w:lineRule="auto"/>
        <w:ind w:left="-566" w:right="283" w:firstLine="708"/>
        <w:jc w:val="both"/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</w:pPr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>Литвиненко И.Л. Маркетинг территорий как фактор устойчивого развития регионов России в условиях неопределенности / И.Л. Литвиненко // Управленческий учет. - 2023. - № 9. - С. 144151.</w:t>
      </w:r>
    </w:p>
    <w:p w:rsidR="00ED51FA" w:rsidRPr="00ED51FA" w:rsidRDefault="00ED51FA" w:rsidP="00ED51FA">
      <w:pPr>
        <w:numPr>
          <w:ilvl w:val="0"/>
          <w:numId w:val="2"/>
        </w:numPr>
        <w:spacing w:after="0" w:line="240" w:lineRule="auto"/>
        <w:ind w:left="-566" w:right="283" w:firstLine="708"/>
        <w:jc w:val="both"/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</w:pPr>
      <w:proofErr w:type="spellStart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>Мантаева</w:t>
      </w:r>
      <w:proofErr w:type="spellEnd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 xml:space="preserve"> Э. И., </w:t>
      </w:r>
      <w:proofErr w:type="spellStart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>Голденова</w:t>
      </w:r>
      <w:proofErr w:type="spellEnd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 xml:space="preserve"> В. С., </w:t>
      </w:r>
      <w:proofErr w:type="spellStart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>Слободчикова</w:t>
      </w:r>
      <w:proofErr w:type="spellEnd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 xml:space="preserve"> И. В. Некоторые аспекты устойчивого развития региональной экономики // Научные труды Вольного экономического общества России. 2022. Т. 236. № 4. С. 78-97.</w:t>
      </w:r>
    </w:p>
    <w:p w:rsidR="00ED51FA" w:rsidRPr="00ED51FA" w:rsidRDefault="00ED51FA" w:rsidP="00ED51FA">
      <w:pPr>
        <w:numPr>
          <w:ilvl w:val="0"/>
          <w:numId w:val="2"/>
        </w:numPr>
        <w:spacing w:after="0" w:line="240" w:lineRule="auto"/>
        <w:ind w:left="-566" w:right="283" w:firstLine="708"/>
        <w:jc w:val="both"/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</w:pPr>
      <w:proofErr w:type="spellStart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>Опалев</w:t>
      </w:r>
      <w:proofErr w:type="spellEnd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 xml:space="preserve"> В.В. Маркетинг инфраструктуры как фактор социально-экономического развития // Прогрессивная экономика. 2023. № 12. С. 85-95.</w:t>
      </w:r>
    </w:p>
    <w:p w:rsidR="00ED51FA" w:rsidRPr="00ED51FA" w:rsidRDefault="00ED51FA" w:rsidP="00ED51FA">
      <w:pPr>
        <w:numPr>
          <w:ilvl w:val="0"/>
          <w:numId w:val="2"/>
        </w:numPr>
        <w:spacing w:after="0" w:line="240" w:lineRule="auto"/>
        <w:ind w:left="-566" w:right="283" w:firstLine="708"/>
        <w:jc w:val="both"/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</w:pPr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 xml:space="preserve">Полуянова Н. В., </w:t>
      </w:r>
      <w:proofErr w:type="spellStart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>Молчан</w:t>
      </w:r>
      <w:proofErr w:type="spellEnd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 xml:space="preserve"> А. С., Ануфриева А. П., </w:t>
      </w:r>
      <w:proofErr w:type="spellStart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>Долгирев</w:t>
      </w:r>
      <w:proofErr w:type="spellEnd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 xml:space="preserve"> А. Ш. Оценка влияния региональной социально-экономической </w:t>
      </w:r>
      <w:proofErr w:type="gramStart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>политики на устойчивость</w:t>
      </w:r>
      <w:proofErr w:type="gramEnd"/>
      <w:r w:rsidRPr="00ED51FA">
        <w:rPr>
          <w:rFonts w:ascii="Times New Roman" w:eastAsia="Times New Roman" w:hAnsi="Times New Roman" w:cs="Arial"/>
          <w:sz w:val="24"/>
          <w:lang w:eastAsia="ru-RU"/>
          <w14:ligatures w14:val="standardContextual"/>
        </w:rPr>
        <w:t xml:space="preserve"> и экономическую безопасность государства // Экономика устойчивого развития. 2022. № 1 (49). С. 64-69.</w:t>
      </w:r>
    </w:p>
    <w:p w:rsidR="007A09A9" w:rsidRPr="00ED51FA" w:rsidRDefault="007A09A9" w:rsidP="00ED51FA"/>
    <w:sectPr w:rsidR="007A09A9" w:rsidRPr="00ED51FA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rce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E1B"/>
    <w:multiLevelType w:val="hybridMultilevel"/>
    <w:tmpl w:val="47BC4380"/>
    <w:lvl w:ilvl="0" w:tplc="13D08518">
      <w:start w:val="1"/>
      <w:numFmt w:val="decimal"/>
      <w:lvlText w:val="%1."/>
      <w:lvlJc w:val="left"/>
      <w:pPr>
        <w:ind w:left="720" w:hanging="360"/>
      </w:pPr>
    </w:lvl>
    <w:lvl w:ilvl="1" w:tplc="52DC2930">
      <w:start w:val="1"/>
      <w:numFmt w:val="lowerLetter"/>
      <w:lvlText w:val="%2."/>
      <w:lvlJc w:val="left"/>
      <w:pPr>
        <w:ind w:left="1440" w:hanging="360"/>
      </w:pPr>
    </w:lvl>
    <w:lvl w:ilvl="2" w:tplc="95C2A532">
      <w:start w:val="1"/>
      <w:numFmt w:val="lowerRoman"/>
      <w:lvlText w:val="%3."/>
      <w:lvlJc w:val="right"/>
      <w:pPr>
        <w:ind w:left="2160" w:hanging="180"/>
      </w:pPr>
    </w:lvl>
    <w:lvl w:ilvl="3" w:tplc="0E42511E">
      <w:start w:val="1"/>
      <w:numFmt w:val="decimal"/>
      <w:lvlText w:val="%4."/>
      <w:lvlJc w:val="left"/>
      <w:pPr>
        <w:ind w:left="2880" w:hanging="360"/>
      </w:pPr>
    </w:lvl>
    <w:lvl w:ilvl="4" w:tplc="75E407A2">
      <w:start w:val="1"/>
      <w:numFmt w:val="lowerLetter"/>
      <w:lvlText w:val="%5."/>
      <w:lvlJc w:val="left"/>
      <w:pPr>
        <w:ind w:left="3600" w:hanging="360"/>
      </w:pPr>
    </w:lvl>
    <w:lvl w:ilvl="5" w:tplc="39F84204">
      <w:start w:val="1"/>
      <w:numFmt w:val="lowerRoman"/>
      <w:lvlText w:val="%6."/>
      <w:lvlJc w:val="right"/>
      <w:pPr>
        <w:ind w:left="4320" w:hanging="180"/>
      </w:pPr>
    </w:lvl>
    <w:lvl w:ilvl="6" w:tplc="225A5FA8">
      <w:start w:val="1"/>
      <w:numFmt w:val="decimal"/>
      <w:lvlText w:val="%7."/>
      <w:lvlJc w:val="left"/>
      <w:pPr>
        <w:ind w:left="5040" w:hanging="360"/>
      </w:pPr>
    </w:lvl>
    <w:lvl w:ilvl="7" w:tplc="430A4F36">
      <w:start w:val="1"/>
      <w:numFmt w:val="lowerLetter"/>
      <w:lvlText w:val="%8."/>
      <w:lvlJc w:val="left"/>
      <w:pPr>
        <w:ind w:left="5760" w:hanging="360"/>
      </w:pPr>
    </w:lvl>
    <w:lvl w:ilvl="8" w:tplc="23B64CA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75D19"/>
    <w:multiLevelType w:val="hybridMultilevel"/>
    <w:tmpl w:val="83CA5E3E"/>
    <w:lvl w:ilvl="0" w:tplc="0BEEE7CA">
      <w:start w:val="1"/>
      <w:numFmt w:val="decimal"/>
      <w:lvlText w:val="%1."/>
      <w:lvlJc w:val="left"/>
      <w:pPr>
        <w:ind w:left="720" w:hanging="360"/>
      </w:pPr>
    </w:lvl>
    <w:lvl w:ilvl="1" w:tplc="F236AA86">
      <w:start w:val="1"/>
      <w:numFmt w:val="lowerLetter"/>
      <w:lvlText w:val="%2."/>
      <w:lvlJc w:val="left"/>
      <w:pPr>
        <w:ind w:left="1440" w:hanging="360"/>
      </w:pPr>
    </w:lvl>
    <w:lvl w:ilvl="2" w:tplc="44C0F146">
      <w:start w:val="1"/>
      <w:numFmt w:val="lowerRoman"/>
      <w:lvlText w:val="%3."/>
      <w:lvlJc w:val="right"/>
      <w:pPr>
        <w:ind w:left="2160" w:hanging="180"/>
      </w:pPr>
    </w:lvl>
    <w:lvl w:ilvl="3" w:tplc="BC163F24">
      <w:start w:val="1"/>
      <w:numFmt w:val="decimal"/>
      <w:lvlText w:val="%4."/>
      <w:lvlJc w:val="left"/>
      <w:pPr>
        <w:ind w:left="2880" w:hanging="360"/>
      </w:pPr>
    </w:lvl>
    <w:lvl w:ilvl="4" w:tplc="B43264A2">
      <w:start w:val="1"/>
      <w:numFmt w:val="lowerLetter"/>
      <w:lvlText w:val="%5."/>
      <w:lvlJc w:val="left"/>
      <w:pPr>
        <w:ind w:left="3600" w:hanging="360"/>
      </w:pPr>
    </w:lvl>
    <w:lvl w:ilvl="5" w:tplc="0998544E">
      <w:start w:val="1"/>
      <w:numFmt w:val="lowerRoman"/>
      <w:lvlText w:val="%6."/>
      <w:lvlJc w:val="right"/>
      <w:pPr>
        <w:ind w:left="4320" w:hanging="180"/>
      </w:pPr>
    </w:lvl>
    <w:lvl w:ilvl="6" w:tplc="ACF6E5C6">
      <w:start w:val="1"/>
      <w:numFmt w:val="decimal"/>
      <w:lvlText w:val="%7."/>
      <w:lvlJc w:val="left"/>
      <w:pPr>
        <w:ind w:left="5040" w:hanging="360"/>
      </w:pPr>
    </w:lvl>
    <w:lvl w:ilvl="7" w:tplc="952884D6">
      <w:start w:val="1"/>
      <w:numFmt w:val="lowerLetter"/>
      <w:lvlText w:val="%8."/>
      <w:lvlJc w:val="left"/>
      <w:pPr>
        <w:ind w:left="5760" w:hanging="360"/>
      </w:pPr>
    </w:lvl>
    <w:lvl w:ilvl="8" w:tplc="8872FA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30"/>
    <w:rsid w:val="003F5FA4"/>
    <w:rsid w:val="007A09A9"/>
    <w:rsid w:val="00DA5930"/>
    <w:rsid w:val="00ED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2026-03-29T18:38:00Z</dcterms:created>
  <dcterms:modified xsi:type="dcterms:W3CDTF">2026-03-29T18:41:00Z</dcterms:modified>
</cp:coreProperties>
</file>