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pStyle w:val="Heading2"/>
        <w:spacing w:before="0" w:after="0" w:line="240" w:lineRule="auto"/>
        <w:jc w:val="center"/>
        <w:rPr>
          <w:rFonts w:ascii="Times New Roman" w:cs="Times New Roman" w:hAnsi="Times New Roman"/>
          <w:b w:val="off"/>
          <w:bCs w:val="off"/>
          <w:color w:val="auto"/>
          <w:sz w:val="24"/>
          <w:szCs w:val="24"/>
        </w:rPr>
      </w:pPr>
      <w:r>
        <w:rPr>
          <w:rFonts w:ascii="Times New Roman" w:cs="Times New Roman" w:hAnsi="Times New Roman"/>
          <w:b w:val="off"/>
          <w:bCs w:val="off"/>
          <w:color w:val="auto"/>
          <w:sz w:val="24"/>
          <w:szCs w:val="24"/>
        </w:rPr>
        <w:t xml:space="preserve">К вопросу об отграничении превышения должностных полномочий </w:t>
      </w:r>
    </w:p>
    <w:p w14:paraId="00000002">
      <w:pPr>
        <w:pStyle w:val="Heading2"/>
        <w:spacing w:before="0" w:after="0" w:line="240" w:lineRule="auto"/>
        <w:jc w:val="center"/>
        <w:rPr>
          <w:rFonts w:ascii="Times New Roman" w:cs="Times New Roman" w:hAnsi="Times New Roman"/>
          <w:b w:val="off"/>
          <w:bCs w:val="off"/>
          <w:color w:val="auto"/>
          <w:sz w:val="24"/>
          <w:szCs w:val="24"/>
        </w:rPr>
      </w:pPr>
      <w:r>
        <w:rPr>
          <w:rFonts w:ascii="Times New Roman" w:cs="Times New Roman" w:hAnsi="Times New Roman"/>
          <w:b w:val="off"/>
          <w:bCs w:val="off"/>
          <w:color w:val="auto"/>
          <w:sz w:val="24"/>
          <w:szCs w:val="24"/>
        </w:rPr>
        <w:t>от преступлений против правосудия и иных преступных посягательств</w:t>
      </w:r>
    </w:p>
    <w:p w14:paraId="00000003">
      <w:pPr>
        <w:spacing w:after="0" w:line="240" w:lineRule="auto"/>
        <w:ind w:right="-852"/>
        <w:jc w:val="center"/>
        <w:rPr>
          <w:rFonts w:ascii="Times New Roman" w:cs="Times New Roman" w:hAnsi="Times New Roman"/>
          <w:sz w:val="24"/>
          <w:szCs w:val="24"/>
          <w:lang w:val="ru-RU"/>
        </w:rPr>
      </w:pPr>
      <w:r>
        <w:rPr>
          <w:rFonts w:ascii="Times New Roman" w:cs="Times New Roman" w:hAnsi="Times New Roman"/>
          <w:sz w:val="24"/>
          <w:szCs w:val="24"/>
          <w:lang w:val="ru-RU"/>
        </w:rPr>
        <w:t>Сутягина Елизавета Андреевна</w:t>
      </w:r>
    </w:p>
    <w:p w14:paraId="00000004">
      <w:pPr>
        <w:spacing w:after="0" w:line="240" w:lineRule="auto"/>
        <w:ind w:right="-852"/>
        <w:jc w:val="center"/>
        <w:rPr>
          <w:rFonts w:ascii="Times New Roman" w:cs="Times New Roman" w:hAnsi="Times New Roman"/>
          <w:sz w:val="24"/>
          <w:szCs w:val="24"/>
        </w:rPr>
      </w:pPr>
      <w:r>
        <w:rPr>
          <w:rFonts w:ascii="Times New Roman" w:cs="Times New Roman" w:hAnsi="Times New Roman"/>
          <w:sz w:val="24"/>
          <w:szCs w:val="24"/>
        </w:rPr>
        <w:t>Студент</w:t>
      </w:r>
    </w:p>
    <w:p w14:paraId="00000005">
      <w:pPr>
        <w:spacing w:after="0" w:line="240" w:lineRule="auto"/>
        <w:ind w:right="-852"/>
        <w:jc w:val="center"/>
        <w:rPr>
          <w:rFonts w:ascii="Times New Roman" w:cs="Times New Roman" w:hAnsi="Times New Roman"/>
          <w:sz w:val="24"/>
          <w:szCs w:val="24"/>
        </w:rPr>
      </w:pPr>
      <w:r>
        <w:rPr>
          <w:rFonts w:ascii="Times New Roman" w:cs="Times New Roman" w:hAnsi="Times New Roman"/>
          <w:sz w:val="24"/>
          <w:szCs w:val="24"/>
        </w:rPr>
        <w:t>Окутина</w:t>
      </w:r>
      <w:r>
        <w:rPr>
          <w:rFonts w:ascii="Times New Roman" w:cs="Times New Roman" w:hAnsi="Times New Roman"/>
          <w:sz w:val="24"/>
          <w:szCs w:val="24"/>
        </w:rPr>
        <w:t xml:space="preserve"> Наталья Николаевна</w:t>
      </w:r>
    </w:p>
    <w:p w14:paraId="00000006">
      <w:pPr>
        <w:spacing w:after="0" w:line="240" w:lineRule="auto"/>
        <w:ind w:right="-852"/>
        <w:jc w:val="center"/>
        <w:rPr>
          <w:rFonts w:ascii="Times New Roman" w:cs="Times New Roman" w:hAnsi="Times New Roman"/>
          <w:sz w:val="24"/>
          <w:szCs w:val="24"/>
        </w:rPr>
      </w:pPr>
      <w:r>
        <w:rPr>
          <w:rFonts w:ascii="Times New Roman" w:cs="Times New Roman" w:hAnsi="Times New Roman"/>
          <w:sz w:val="24"/>
          <w:szCs w:val="24"/>
        </w:rPr>
        <w:t xml:space="preserve">Научный руководитель, </w:t>
      </w:r>
      <w:r>
        <w:rPr>
          <w:rFonts w:ascii="Times New Roman" w:cs="Times New Roman" w:hAnsi="Times New Roman"/>
          <w:sz w:val="24"/>
          <w:szCs w:val="24"/>
        </w:rPr>
        <w:t>к.ю.н</w:t>
      </w:r>
      <w:r>
        <w:rPr>
          <w:rFonts w:ascii="Times New Roman" w:cs="Times New Roman" w:hAnsi="Times New Roman"/>
          <w:sz w:val="24"/>
          <w:szCs w:val="24"/>
        </w:rPr>
        <w:t>.</w:t>
      </w:r>
    </w:p>
    <w:p w14:paraId="00000007">
      <w:pPr>
        <w:spacing w:after="0" w:line="240" w:lineRule="auto"/>
        <w:ind w:right="-852"/>
        <w:jc w:val="center"/>
        <w:rPr>
          <w:rFonts w:ascii="Times New Roman" w:cs="Times New Roman" w:hAnsi="Times New Roman"/>
          <w:sz w:val="24"/>
          <w:szCs w:val="24"/>
        </w:rPr>
      </w:pPr>
      <w:r>
        <w:rPr>
          <w:rFonts w:ascii="Times New Roman" w:cs="Times New Roman" w:hAnsi="Times New Roman"/>
          <w:sz w:val="24"/>
          <w:szCs w:val="24"/>
        </w:rPr>
        <w:t xml:space="preserve">Кафедра правовых дисциплин </w:t>
      </w:r>
    </w:p>
    <w:p w14:paraId="00000008">
      <w:pPr>
        <w:spacing w:after="0" w:line="240" w:lineRule="auto"/>
        <w:ind w:right="-852"/>
        <w:jc w:val="center"/>
        <w:rPr>
          <w:rFonts w:ascii="Times New Roman" w:cs="Times New Roman" w:hAnsi="Times New Roman"/>
          <w:sz w:val="24"/>
          <w:szCs w:val="24"/>
        </w:rPr>
      </w:pPr>
      <w:r>
        <w:rPr>
          <w:rFonts w:ascii="Times New Roman" w:cs="Times New Roman" w:hAnsi="Times New Roman"/>
          <w:sz w:val="24"/>
          <w:szCs w:val="24"/>
        </w:rPr>
        <w:t xml:space="preserve">Ульяновского филиала Президентской академии </w:t>
      </w:r>
    </w:p>
    <w:p w14:paraId="00000009">
      <w:pPr>
        <w:spacing w:after="0" w:line="240" w:lineRule="auto"/>
        <w:ind w:right="-852" w:firstLine="708"/>
        <w:jc w:val="both"/>
        <w:rPr>
          <w:rFonts w:ascii="Times New Roman" w:cs="Times New Roman" w:hAnsi="Times New Roman"/>
          <w:sz w:val="24"/>
          <w:szCs w:val="24"/>
        </w:rPr>
      </w:pPr>
    </w:p>
    <w:p w14:paraId="0000000A">
      <w:pPr>
        <w:spacing w:after="0" w:line="240" w:lineRule="auto"/>
        <w:ind w:right="-1" w:firstLine="708"/>
        <w:jc w:val="both"/>
        <w:rPr>
          <w:rFonts w:ascii="Times New Roman" w:cs="Times New Roman" w:hAnsi="Times New Roman"/>
          <w:sz w:val="24"/>
          <w:szCs w:val="24"/>
        </w:rPr>
      </w:pPr>
      <w:r>
        <w:rPr>
          <w:rFonts w:ascii="Times New Roman" w:cs="Times New Roman" w:hAnsi="Times New Roman"/>
          <w:sz w:val="24"/>
          <w:szCs w:val="24"/>
        </w:rPr>
        <w:t xml:space="preserve">Ключевые слова: коррупция, должностные преступления, должностное лицо, превышение должностных полномочий, отграничение от преступлений. </w:t>
      </w:r>
    </w:p>
    <w:p w14:paraId="0000000B">
      <w:pPr>
        <w:spacing w:after="0" w:line="240" w:lineRule="auto"/>
        <w:ind w:right="-1" w:firstLine="708"/>
        <w:jc w:val="both"/>
        <w:rPr>
          <w:rFonts w:ascii="Times New Roman" w:cs="Times New Roman" w:hAnsi="Times New Roman"/>
          <w:sz w:val="24"/>
          <w:szCs w:val="24"/>
        </w:rPr>
      </w:pPr>
    </w:p>
    <w:p w14:paraId="0000000C">
      <w:pPr>
        <w:spacing w:after="0" w:line="240" w:lineRule="auto"/>
        <w:ind w:right="-1" w:firstLine="708"/>
        <w:jc w:val="both"/>
        <w:rPr>
          <w:rFonts w:ascii="Times New Roman" w:cs="Times New Roman" w:hAnsi="Times New Roman"/>
          <w:sz w:val="24"/>
          <w:szCs w:val="24"/>
        </w:rPr>
      </w:pPr>
      <w:r>
        <w:rPr>
          <w:rFonts w:ascii="Times New Roman" w:cs="Times New Roman" w:hAnsi="Times New Roman"/>
          <w:sz w:val="24"/>
          <w:szCs w:val="24"/>
        </w:rPr>
        <w:t xml:space="preserve">В концептуальном смысле и должностные преступления против государственной власти, и посягательства против правосудия есть разновидность злоупотребления правом, сознательного нарушения основополагающих принципов уголовного производства и стоящих над ними общепринятых моральных норм. Но несмотря на некоторое сходство, составы посягательств против правосудия отличаются от превышения должностными полномочиями по множеству признаков. </w:t>
      </w:r>
    </w:p>
    <w:p w14:paraId="0000000D">
      <w:pPr>
        <w:pStyle w:val="Normal(Web)"/>
        <w:spacing w:before="0" w:after="0"/>
        <w:ind w:firstLine="709"/>
        <w:jc w:val="both"/>
        <w:rPr/>
      </w:pPr>
      <w:r>
        <w:t>Поскольку составы располагаются в разных главах уголовного кодекса, они отличатся с точк</w:t>
      </w:r>
      <w:r>
        <w:t>и зрения своего видового объекта. В части преступлений против государственной власти, интересов государственной службы и службы в органах местного самоуправления содержание видового объекта уже было раскрыто выше. Что касается видового объекта посягательств против правосудия, то он опосредуется общественными отношениями, связанными с обеспечением надлежащего порядка отправления правосудия, а также отношения, вязанные с деятельностью специальных органов, таких как органы следствия, дознания, прокуратуры, принудительного исполнения, обеспечивающих реализацию задач и функций в области отправления правосудия.</w:t>
      </w:r>
    </w:p>
    <w:p w14:paraId="0000000E">
      <w:pPr>
        <w:pStyle w:val="Normal(Web)"/>
        <w:spacing w:before="0" w:after="0"/>
        <w:ind w:firstLine="709"/>
        <w:jc w:val="both"/>
        <w:rPr/>
      </w:pPr>
      <w:r>
        <w:t xml:space="preserve">Учеными также отмечается, что многие составы преступлений против правосудия, например, предусмотренные ст. ст. 299, 300, 301, 302 УК РФ представляют собой частные случаи либо злоупотребления должностными полномочиями, либо их превышения. Это </w:t>
      </w:r>
      <w:r>
        <w:t xml:space="preserve">приводит к конкуренции общей и специальной нормы. Например, если разграничивать между собой состав, предусмотренный ст. 302 «принуждения к даче показаний» УК РФ и состав превышения должностных полномочий, то можно отметить, что именно здесь наблюдается наибольшее сходство. </w:t>
      </w:r>
    </w:p>
    <w:p w14:paraId="0000000F">
      <w:pPr>
        <w:pStyle w:val="Normal(Web)"/>
        <w:spacing w:before="0" w:after="0"/>
        <w:ind w:firstLine="709"/>
        <w:jc w:val="both"/>
        <w:rPr/>
      </w:pPr>
      <w:r>
        <w:t>Но также есть и отличия в части признаков, присущих и объективным, и субъективным сторонам составов. По ст. 302 УК РФ обязательным является особый способ реализации объективной стороны - принуждение путем применения угроз, шантажа или иных незаконных действий, то есть противоречащее закону воздействие со стороны должностных лиц органов, осуществляющих уголовное судопроизводство, на волю и поведение участвующих в нем лиц.</w:t>
      </w:r>
    </w:p>
    <w:p w14:paraId="00000010">
      <w:pPr>
        <w:pStyle w:val="Normal(Web)"/>
        <w:spacing w:before="0" w:after="0"/>
        <w:ind w:firstLine="709"/>
        <w:jc w:val="both"/>
        <w:rPr/>
      </w:pPr>
      <w:r>
        <w:t xml:space="preserve">В рамках превышения должностных полномочий способ в юридической конструкции его состава не выделяется. Отличия имеют место и с точки зрения субъектов посягательства. Нужно напомнить, что по ст. 286 УК РФ это исключительно должностное лицо, то в рамках состава, предусмотренного ст. 302 УК РФ принуждение осуществляется специальным субъектом – сотрудником правоохранительной системы. Это могут быть следователи, лица, производящие дознание, или иные сотрудники правоохранительного органа, а равно другие лица с ведома или молчаливого согласия следователя, лица, производящего дознание, или иного сотрудника правоохранительного органа. Статус должностного лица, а значит и административно-хозяйственные и организационно-распорядительные полномочия у этих лиц не требуются. </w:t>
      </w:r>
    </w:p>
    <w:p w14:paraId="00000011">
      <w:pPr>
        <w:pStyle w:val="Normal(Web)"/>
        <w:spacing w:before="0" w:after="0"/>
        <w:ind w:firstLine="709"/>
        <w:jc w:val="both"/>
        <w:rPr/>
      </w:pPr>
      <w:r>
        <w:t>Ч</w:t>
      </w:r>
      <w:r>
        <w:t xml:space="preserve">тобы верно установить, какой состав надлежит инкриминировать субъекту, нужно определить, на что были направлены его действия. Если он преследовал цель именно принудить субъекта к даче показания или заключения, то в его действиях имел место состав, предусмотренный ст. 302 УК РФ. Но получаемая от лица информация рассматривается по смыслу закона как показания не всегда. Например, сведения, полученные на этапе доследственной проверки, показаниями по смыслу закона не являются. Поэтому, если противоправные методы принуждения к участнику уголовного процесса, явно связанные с превышением должностных полномочий, были применены в ходе доследственной проверки, например, при получении объяснений от лиц, содеянное надлежит квалифицировать по ст. 286 УК РФ, учитывая статус полученной информации. </w:t>
      </w:r>
    </w:p>
    <w:p w14:paraId="00000012">
      <w:pPr>
        <w:pStyle w:val="Normal(Web)"/>
        <w:spacing w:before="0" w:after="0"/>
        <w:ind w:firstLine="709"/>
        <w:jc w:val="both"/>
        <w:rPr/>
      </w:pPr>
      <w:r>
        <w:t xml:space="preserve">Как представляется, сложившееся в уголовном законе нормативное регулирование отличается излишне узким к вопросу определения предмета преступления, предусмотренного ст. 302 УК РФ. Отсутствует единообразная практика. Если ориентироваться буквальные трактовки УПК РФ, то можно прийти к выводу о том, что показания могут быть даны исключительно в рамках таких следственных действий, как допрос и очная ставка. Но некоторые ученые аргументированно отрицают правильность такого подхода, отмечая, что понятие показаний, по крайней мере, применительно к составам, предусмотренным гл. 31 УК РФ, необходимо понимать более широко. Речь идет обо всех случаях принудительного сбора сведений, интересующих правоохранительные органы для осуществления следствия. </w:t>
      </w:r>
      <w:r>
        <w:t>В</w:t>
      </w:r>
      <w:r>
        <w:t xml:space="preserve"> качестве таковых </w:t>
      </w:r>
      <w:r>
        <w:t>целесообразно рассматривать любые</w:t>
      </w:r>
      <w:r>
        <w:t xml:space="preserve"> сведения, сообщаемые в ходе любого следственного действия, в том числе, и в ходе проверки показаний на месте, предъявлении для опознания </w:t>
      </w:r>
    </w:p>
    <w:p w14:paraId="00000013">
      <w:pPr>
        <w:pStyle w:val="Normal(Web)"/>
        <w:spacing w:before="0" w:after="0"/>
        <w:ind w:firstLine="709"/>
        <w:jc w:val="both"/>
        <w:rPr/>
      </w:pPr>
      <w:r>
        <w:t xml:space="preserve">Действие ст. 302 УК РФ нуждается в его распространении не только на показания по смыслу уголовно-процессуального законодательства, но и на иные различные сообщения, полученные в ходе других следственных действий, учитывая, что общественная опасность содеянного во всех подобных случаях, в частности, при проведении, например, таких следственных действий, как предъявление для опознания или проверка показаний на месте, не будет отличаться от принуждения к даче показаний в рамках допроса. </w:t>
      </w:r>
    </w:p>
    <w:p w14:paraId="00000014">
      <w:pPr>
        <w:spacing w:after="0" w:line="240" w:lineRule="auto"/>
        <w:ind w:firstLine="708"/>
        <w:jc w:val="both"/>
        <w:rPr>
          <w:rFonts w:ascii="Times New Roman" w:cs="Times New Roman" w:eastAsia="Times New Roman" w:hAnsi="Times New Roman"/>
          <w:sz w:val="24"/>
          <w:szCs w:val="24"/>
          <w:lang w:eastAsia="ru-RU"/>
        </w:rPr>
      </w:pPr>
      <w:r>
        <w:rPr>
          <w:rFonts w:ascii="Times New Roman" w:cs="Times New Roman" w:hAnsi="Times New Roman"/>
          <w:sz w:val="24"/>
          <w:szCs w:val="24"/>
        </w:rPr>
        <w:t xml:space="preserve">Не вполне ясным видится и решение законодателя, который отнес только показания к предмету данного преступления, не включив в него принуждение к даче объяснений. Полагаем, что диспозиция ч. 1 ст. 302 УК РФ нуждается в уточнении, что даст возможность большую четкость в вопросе дифференциации между собой превышения должностных полномочий и данного состава преступного посягательства против правосудия. </w:t>
      </w:r>
      <w:r>
        <w:rPr>
          <w:rFonts w:ascii="Times New Roman" w:cs="Times New Roman" w:eastAsia="Times New Roman" w:hAnsi="Times New Roman"/>
          <w:sz w:val="24"/>
          <w:szCs w:val="24"/>
          <w:lang w:eastAsia="ru-RU"/>
        </w:rPr>
        <w:t xml:space="preserve">Но в силу </w:t>
      </w:r>
      <w:r>
        <w:rPr>
          <w:rFonts w:ascii="Times New Roman" w:cs="Times New Roman" w:eastAsia="Times New Roman" w:hAnsi="Times New Roman"/>
          <w:sz w:val="24"/>
          <w:szCs w:val="24"/>
          <w:lang w:eastAsia="ru-RU"/>
        </w:rPr>
        <w:t xml:space="preserve">текущего регулирования, и принимая во внимание сложившуюся правоприменительную практику, всякое </w:t>
      </w:r>
      <w:r>
        <w:rPr>
          <w:rFonts w:ascii="Times New Roman" w:cs="Times New Roman" w:hAnsi="Times New Roman"/>
          <w:sz w:val="24"/>
          <w:szCs w:val="24"/>
        </w:rPr>
        <w:t xml:space="preserve">применение незаконных методов при получении объяснений от лиц в ходе проверки сообщения о преступлении, а также принуждение в ходе иных следственных действий, нужно квалифицировать по ст. 286 УК РФ, учитывая отсутствие у полученной информации юридического статуса показаний. </w:t>
      </w:r>
    </w:p>
    <w:p w14:paraId="00000015">
      <w:pPr>
        <w:spacing w:after="0" w:line="240" w:lineRule="auto"/>
        <w:ind w:firstLine="708"/>
        <w:jc w:val="both"/>
        <w:rPr>
          <w:rFonts w:ascii="Times New Roman" w:cs="Times New Roman" w:hAnsi="Times New Roman"/>
          <w:sz w:val="24"/>
          <w:szCs w:val="24"/>
        </w:rPr>
      </w:pPr>
      <w:r>
        <w:rPr>
          <w:rFonts w:ascii="Times New Roman" w:cs="Times New Roman" w:hAnsi="Times New Roman"/>
          <w:sz w:val="24"/>
          <w:szCs w:val="24"/>
        </w:rPr>
        <w:t xml:space="preserve">Не менее важным видится разграничение между собой данных составов с точки зрения способа воздействия. Так, и по основному составу ст. 302 УК РФ и по квалицированному составу п. «а» ч. 3 ст. 286 УК РФ предполагается применение такого способа, как применение угроз. Если же вести речь о деянии, предусмотренном ст. 302 УК РФ, то угроза здесь может быть не только насилием, но и выражаться в качестве шантажа. </w:t>
      </w:r>
    </w:p>
    <w:p w14:paraId="00000016">
      <w:pPr>
        <w:spacing w:after="0" w:line="240" w:lineRule="auto"/>
        <w:ind w:firstLine="708"/>
        <w:jc w:val="both"/>
        <w:rPr>
          <w:rFonts w:ascii="Times New Roman" w:cs="Times New Roman" w:hAnsi="Times New Roman"/>
          <w:sz w:val="24"/>
          <w:szCs w:val="24"/>
        </w:rPr>
      </w:pPr>
      <w:r>
        <w:rPr>
          <w:rFonts w:ascii="Times New Roman" w:cs="Times New Roman" w:hAnsi="Times New Roman"/>
          <w:sz w:val="24"/>
          <w:szCs w:val="24"/>
        </w:rPr>
        <w:t xml:space="preserve">В качестве прочих охватываемых объективной стороной активных действий, могут выступать оскорбление данных лиц, умышленное существенное нарушение установленных требований о продолжительности и об условиях проведения допроса, использование сфальсифицированных доказательств. В рамках Постановления Пленума Верховного Суда РФ от 28.06.2022 № 20 об этом не говорится, но такие действия могут охватываться допросом с применением методов провокации, применение практик гипноза, воздействие на потерпевшего посредством подмешивания ему определенных влияющих на психику и сознание веществ. </w:t>
      </w:r>
    </w:p>
    <w:p w14:paraId="00000017">
      <w:pPr>
        <w:spacing w:after="0" w:line="240" w:lineRule="auto"/>
        <w:ind w:firstLine="708"/>
        <w:jc w:val="both"/>
        <w:rPr>
          <w:rFonts w:ascii="Times New Roman" w:cs="Times New Roman" w:hAnsi="Times New Roman"/>
          <w:sz w:val="24"/>
          <w:szCs w:val="24"/>
        </w:rPr>
      </w:pPr>
      <w:r>
        <w:rPr>
          <w:rFonts w:ascii="Times New Roman" w:cs="Times New Roman" w:hAnsi="Times New Roman"/>
          <w:sz w:val="24"/>
          <w:szCs w:val="24"/>
        </w:rPr>
        <w:t xml:space="preserve">Но если методы допроса недопустимы с точки зрения тактики или не соответствуют представлениям о правильном, нравственном поведении служащего, притом, что прямого нарушения закона они не содержат, то при условии сохранения у допрашиваемого свободной воли в реализации его права действовать определенным образом, оснований для привлечения к ответственности по ст. 302 УК РФ не будет. При этом, если такие действия повлекли необходимые для превышения должностных полномочий последствия, и были связаны с выходом за пределы полномочий субъекта преступления, то деяние будет квалифицироваться по ст. 286 УК РФ. </w:t>
      </w:r>
    </w:p>
    <w:p w14:paraId="00000018">
      <w:pPr>
        <w:pStyle w:val="Default"/>
        <w:ind w:firstLine="709"/>
        <w:jc w:val="both"/>
        <w:rPr>
          <w:color w:val="auto"/>
        </w:rPr>
      </w:pPr>
      <w:r>
        <w:rPr>
          <w:color w:val="auto"/>
        </w:rPr>
        <w:t xml:space="preserve">Также текущее законодательное регулирование в рамках диспозиции ст. 302 УК РФ применительно к определению субъекта посягательства также не способствует четкой дифференциации составов между собой. Представляется, что законодатель в данном случае подразумевал, что основной субъект этого деяния – лицо, осуществляющее уголовно-процессуальные функции, в частности, проводящее проверку по сообщению о преступлении или расследование, имеющее очевидный профессиональный интерес к получению данного рода информации. Чтобы устранить всяческие расхождения в этом вопросе, данное определение следует видоизменить. </w:t>
      </w:r>
    </w:p>
    <w:p w14:paraId="00000019">
      <w:pPr>
        <w:pStyle w:val="Default"/>
        <w:ind w:firstLine="709"/>
        <w:jc w:val="both"/>
        <w:rPr>
          <w:shd w:val="clear" w:color="auto" w:fill="ffffff"/>
        </w:rPr>
      </w:pPr>
      <w:r>
        <w:rPr>
          <w:shd w:val="clear" w:color="auto" w:fill="ffffff"/>
        </w:rPr>
        <w:t xml:space="preserve">Тот факт, что законодатель не ограничил круг должностных лиц, которые могут быть субъектом этого преступления, только лицами, производящими проверку по сообщению или следователями, считаем правильным. Нет никаких сомнений, что иметь профессиональный интерес к совершению подобных действий может и оперуполномоченный. Поэтому более точным буде определить субъекта преступления </w:t>
      </w:r>
      <w:r>
        <w:rPr>
          <w:color w:val="auto"/>
        </w:rPr>
        <w:t>как: «сотрудник правоохранительного органа или иное лицо</w:t>
      </w:r>
      <w:r>
        <w:rPr>
          <w:shd w:val="clear" w:color="auto" w:fill="ffffff"/>
        </w:rPr>
        <w:t xml:space="preserve">». </w:t>
      </w:r>
    </w:p>
    <w:p w14:paraId="0000001A">
      <w:pPr>
        <w:pStyle w:val="Normal(Web)"/>
        <w:spacing w:before="0" w:after="0"/>
        <w:ind w:firstLine="709"/>
        <w:jc w:val="both"/>
        <w:rPr/>
      </w:pPr>
      <w:r>
        <w:t>Совпадение признаков субъекта требует обращения внимания на вопрос разграничения исследуемого состава со ст. 203 УК РФ, то есть, от превышени</w:t>
      </w:r>
      <w:r>
        <w:t>я</w:t>
      </w:r>
      <w:r>
        <w:t xml:space="preserve"> полномочий частным детективом или работником частной охранной организации, имеющим удостоверение частного охранника, при выполнении им своих должностных обязанностей. В данном случае, во-первых, предусматривается специальный субъект, во - вторых, сфера посягательства другая, в связи с чем, объект данных преступлений также различен.  Таким образом, рассматриваемые деяния различаются по субъекту преступления, а наличие у последнего статуса частного детектива требует квалификации по специальному составу. </w:t>
      </w:r>
    </w:p>
    <w:p w14:paraId="0000001B">
      <w:pPr>
        <w:tabs>
          <w:tab w:val="left" w:pos="7560"/>
        </w:tabs>
        <w:spacing w:after="0" w:line="240" w:lineRule="auto"/>
        <w:ind w:firstLine="709"/>
        <w:jc w:val="both"/>
        <w:rPr>
          <w:rFonts w:ascii="Times New Roman" w:cs="Times New Roman" w:hAnsi="Times New Roman"/>
          <w:color w:val="000000"/>
          <w:sz w:val="24"/>
          <w:szCs w:val="24"/>
          <w:shd w:val="clear" w:color="auto" w:fill="ffffff"/>
        </w:rPr>
      </w:pPr>
      <w:r>
        <w:rPr>
          <w:rFonts w:ascii="Times New Roman" w:cs="Times New Roman" w:hAnsi="Times New Roman"/>
          <w:sz w:val="24"/>
          <w:szCs w:val="24"/>
        </w:rPr>
        <w:t xml:space="preserve">Некоторыми исследователями обращается внимание на тот факт, что преступление, предусмотренное ст. 286 УК РФ, следует по субъектному составу и объекту отграничивать от преступления, предусмотренного ст. 201 УК РФ, поскольку в последнем случае субъектом преступления выступают лица, выполняющие управленческие функции </w:t>
      </w:r>
      <w:r>
        <w:rPr>
          <w:rFonts w:ascii="Times New Roman" w:cs="Times New Roman" w:hAnsi="Times New Roman"/>
          <w:color w:val="000000"/>
          <w:sz w:val="24"/>
          <w:szCs w:val="24"/>
          <w:shd w:val="clear" w:color="auto" w:fill="ffffff"/>
        </w:rPr>
        <w:t xml:space="preserve">в коммерческой или </w:t>
      </w:r>
      <w:r>
        <w:rPr>
          <w:rFonts w:ascii="Times New Roman" w:cs="Times New Roman" w:hAnsi="Times New Roman"/>
          <w:color w:val="000000"/>
          <w:sz w:val="24"/>
          <w:szCs w:val="24"/>
          <w:shd w:val="clear" w:color="auto" w:fill="ffffff"/>
        </w:rPr>
        <w:t xml:space="preserve">иной организации, своих полномочий, вопреки законным интересам этой организации. Но по ст. 201 УК РФ предполагается привлечение к ответственности только за злоупотребление полномочиями. Поэтому в их дифференциации будут наблюдаться те же сложности и проблемы, которые сопутствуют разграничению между собой ст. 285 и ст. 286 УК РФ. </w:t>
      </w:r>
    </w:p>
    <w:p w14:paraId="0000001C">
      <w:pPr>
        <w:tabs>
          <w:tab w:val="left" w:pos="7560"/>
        </w:tabs>
        <w:spacing w:after="0" w:line="240" w:lineRule="auto"/>
        <w:ind w:firstLine="709"/>
        <w:jc w:val="both"/>
        <w:rPr>
          <w:rFonts w:ascii="Times New Roman" w:cs="Times New Roman" w:hAnsi="Times New Roman"/>
          <w:sz w:val="24"/>
          <w:szCs w:val="24"/>
        </w:rPr>
      </w:pPr>
      <w:r>
        <w:rPr>
          <w:rFonts w:ascii="Times New Roman" w:cs="Times New Roman" w:hAnsi="Times New Roman"/>
          <w:color w:val="000000"/>
          <w:sz w:val="24"/>
          <w:szCs w:val="24"/>
          <w:shd w:val="clear" w:color="auto" w:fill="ffffff"/>
        </w:rPr>
        <w:t xml:space="preserve">Нужно понимать и то, что в настоящее время четкая квалификация составов должностных преступлений и посягательств на интересы службы </w:t>
      </w:r>
      <w:r>
        <w:rPr>
          <w:rFonts w:ascii="Times New Roman" w:cs="Times New Roman" w:hAnsi="Times New Roman"/>
          <w:sz w:val="24"/>
          <w:szCs w:val="24"/>
        </w:rPr>
        <w:t xml:space="preserve">в коммерческих или иных организациях осложняется еще и ввиду того, что понятие должностного лица по смыслу гл. 30 УК РФ дополнено лицами, реализующими необходимые в силу прим. к ст. 285 УК РФ функции в структурах (в том числе коммерческих) с превалирующей долей публичного участия. То есть лицо, виновное в совершение злоупотребления или превышения должностными полномочиями, может замещать должность и в коммерческой организации. </w:t>
      </w:r>
    </w:p>
    <w:p w14:paraId="0000001D">
      <w:pPr>
        <w:pStyle w:val="NoSpacing"/>
        <w:ind w:firstLine="709"/>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rPr>
        <w:t>настоящее время мы может наблюдать коллизию в вопросе квалификаций составов должностных преступлений (включая состав превышения должностных полномочий) и ст. 201 УК РФ, посягающую на интересы службы в коммерческих и иных организациях. Наиболее остро вопрос разграничения стоит в ситуации, когда субъект преступления реализует соответствующие функции не в органах власти, а в государственных и муниципальных унитарных предприятиях и в хозяйственных обществах.</w:t>
      </w:r>
    </w:p>
    <w:p w14:paraId="0000001E">
      <w:pPr>
        <w:pStyle w:val="NoSpacing"/>
        <w:ind w:firstLine="709"/>
        <w:jc w:val="both"/>
        <w:rPr>
          <w:rFonts w:ascii="Times New Roman" w:hAnsi="Times New Roman"/>
          <w:sz w:val="24"/>
          <w:szCs w:val="24"/>
        </w:rPr>
      </w:pPr>
      <w:r>
        <w:rPr>
          <w:rFonts w:ascii="Times New Roman" w:hAnsi="Times New Roman"/>
          <w:sz w:val="24"/>
          <w:szCs w:val="24"/>
        </w:rPr>
        <w:t xml:space="preserve">Вопросы вызывает решение законодателя относительно в части отсутствия криминализации превышения полномочий в коммерческих и иных организациях по аналогии с выделением составов злоупотребления и превышения должностных полномочий. Учитывая отсутствие в главе 23 УК РФ необходимого состава, устанавливающего ответственность, не за злоупотребление, а именно за превышения, судебная практика сталкивается с проблемами. В частности, несмотря на четкость в формулировании наименования ст. 201 УК РФ, иногда правоприменитель предпринимает попытки использовать аналогию закона (что прямо запрещено) для того, чтобы квалифицировать деяние, являющееся превышением полномочий, по ст. 201 УК РФ.  </w:t>
      </w:r>
    </w:p>
    <w:p w14:paraId="0000001F">
      <w:pPr>
        <w:pStyle w:val="Normal(Web)"/>
        <w:spacing w:before="0" w:after="0"/>
        <w:ind w:firstLine="709"/>
        <w:jc w:val="both"/>
        <w:rPr/>
      </w:pPr>
      <w:r>
        <w:t>Таким образом, превышение должностных полномочий во многом сходно в другими должностными преступлениями, основное различие этого преступления и деяний, предусмотренных ст. 286</w:t>
      </w:r>
      <w:r>
        <w:rPr>
          <w:vertAlign w:val="superscript"/>
        </w:rPr>
        <w:t xml:space="preserve">1 </w:t>
      </w:r>
      <w:r>
        <w:t xml:space="preserve">и ст. 302 УК РФ, заключается в тех действиях (бездействии), которые совершает должностное лицо. </w:t>
      </w:r>
    </w:p>
    <w:p w14:paraId="00000020">
      <w:pPr>
        <w:pStyle w:val="Normal(Web)"/>
        <w:spacing w:before="0" w:after="0"/>
        <w:ind w:firstLine="709"/>
        <w:jc w:val="both"/>
        <w:rPr/>
      </w:pPr>
      <w:r>
        <w:t xml:space="preserve">Превышение должностных полномочий обладает сходством с халатностью, различие заключается в форме вины, так как халатность совершается по неосторожности. По субъекту преступление, предусмотренное ст. 286 УК РФ, следует отграничивать от деяний, предусмотренных ст. 288, 201, 203 УК РФ. По многим признакам состава преступления превышение должностных полномочий отличается от преступления, предусмотренного ст. 302 УК РФ. </w:t>
      </w:r>
    </w:p>
    <w:p w14:paraId="00000021">
      <w:pPr>
        <w:pStyle w:val="Normal(Web)"/>
        <w:spacing w:before="0" w:after="0"/>
        <w:ind w:firstLine="709"/>
        <w:jc w:val="both"/>
        <w:rPr/>
      </w:pPr>
      <w:r>
        <w:t xml:space="preserve">В силу текущего регулирования, и принимая во внимание сложившуюся правоприменительную практику, всякое применение незаконных методов при получении объяснений от лиц в ходе проверки сообщения о преступлении, а также принуждение в ходе иных следственных действий, нужно квалифицировать по ст. 286 УК РФ, учитывая отсутствие у полученной информации юридического статуса показаний. </w:t>
      </w:r>
    </w:p>
    <w:p w14:paraId="00000022">
      <w:pPr>
        <w:pStyle w:val="Normal(Web)"/>
        <w:spacing w:before="0" w:after="0"/>
        <w:ind w:firstLine="709"/>
        <w:jc w:val="both"/>
        <w:rPr/>
      </w:pPr>
      <w:r>
        <w:t xml:space="preserve">Предлагается распространить действие ст. 302 УК РФ не только на показания по смыслу уголовно-процессуального законодательства, но и на иные различные сообщения, полученные в ходе других следственных действий. Также, необходимо отметить, что текущее законодательное регулирование в рамках диспозиции ст. 302 УК РФ применительно к определению субъекта посягательства также не способствует четкой дифференциации составов между собой. Представляется, что законодатель в данном случае подразумевал, что основной субъект этого деяния – лицо, осуществляющее уголовно-процессуальные функции, в частности, проводящее проверку по сообщению о преступлении или расследование, имеющее очевидный профессиональный интерес к получению данного рода информации. Чтобы устранить всяческие расхождения в этом вопросе, данное определение следует видоизменить. </w:t>
      </w:r>
    </w:p>
    <w:p w14:paraId="00000023">
      <w:pPr>
        <w:spacing w:after="0" w:line="240" w:lineRule="auto"/>
        <w:ind w:firstLine="708"/>
        <w:jc w:val="both"/>
        <w:rPr>
          <w:rFonts w:ascii="Times New Roman" w:cs="Times New Roman" w:eastAsia="Times New Roman" w:hAnsi="Times New Roman"/>
          <w:sz w:val="24"/>
          <w:szCs w:val="24"/>
          <w:lang w:eastAsia="ru-RU"/>
        </w:rPr>
      </w:pPr>
      <w:r>
        <w:rPr>
          <w:rFonts w:ascii="Times New Roman" w:cs="Times New Roman" w:hAnsi="Times New Roman"/>
          <w:sz w:val="24"/>
          <w:szCs w:val="24"/>
        </w:rPr>
        <w:t xml:space="preserve">В целях учета данных изменений необходимо изложить ч. 1 ст. ст. 302 УК РФ в следующей редакции: «Принуждение </w:t>
      </w:r>
      <w:r>
        <w:rPr>
          <w:rFonts w:ascii="Times New Roman" w:cs="Times New Roman" w:eastAsia="Times New Roman" w:hAnsi="Times New Roman"/>
          <w:sz w:val="24"/>
          <w:szCs w:val="24"/>
          <w:lang w:eastAsia="ru-RU"/>
        </w:rPr>
        <w:t xml:space="preserve">подозреваемого, обвиняемого, осужденного, оправданного, потерпевшего или свидетеля к даче показаний или </w:t>
      </w:r>
      <w:r>
        <w:rPr>
          <w:rFonts w:ascii="Times New Roman" w:cs="Times New Roman" w:hAnsi="Times New Roman"/>
          <w:sz w:val="24"/>
          <w:szCs w:val="24"/>
        </w:rPr>
        <w:t>к предоставлению иных сведений, имеющих значение для уголовного дела,</w:t>
      </w:r>
      <w:r>
        <w:rPr>
          <w:rFonts w:ascii="Times New Roman" w:cs="Times New Roman" w:eastAsia="Times New Roman" w:hAnsi="Times New Roman"/>
          <w:sz w:val="24"/>
          <w:szCs w:val="24"/>
          <w:lang w:eastAsia="ru-RU"/>
        </w:rPr>
        <w:t xml:space="preserve"> либо эксперта или специалиста к даче заключения или показаний, или к  </w:t>
      </w:r>
      <w:r>
        <w:rPr>
          <w:rFonts w:ascii="Times New Roman" w:cs="Times New Roman" w:hAnsi="Times New Roman"/>
          <w:sz w:val="24"/>
          <w:szCs w:val="24"/>
        </w:rPr>
        <w:t>предоставлению иных сведений, имеющих значение для уголовного дела</w:t>
      </w:r>
      <w:r>
        <w:rPr>
          <w:rFonts w:ascii="Times New Roman" w:cs="Times New Roman" w:eastAsia="Times New Roman" w:hAnsi="Times New Roman"/>
          <w:sz w:val="24"/>
          <w:szCs w:val="24"/>
          <w:lang w:eastAsia="ru-RU"/>
        </w:rPr>
        <w:t xml:space="preserve"> путем применения угроз, шантажа или иных незаконных действий со стороны </w:t>
      </w:r>
      <w:r>
        <w:rPr>
          <w:rFonts w:ascii="Times New Roman" w:cs="Times New Roman" w:hAnsi="Times New Roman"/>
          <w:sz w:val="24"/>
          <w:szCs w:val="24"/>
        </w:rPr>
        <w:t>сотрудника правоохранительного органа, а равно иного лица</w:t>
      </w:r>
      <w:r>
        <w:rPr>
          <w:rFonts w:ascii="Times New Roman" w:cs="Times New Roman" w:eastAsia="Times New Roman" w:hAnsi="Times New Roman"/>
          <w:sz w:val="24"/>
          <w:szCs w:val="24"/>
          <w:lang w:eastAsia="ru-RU"/>
        </w:rPr>
        <w:t xml:space="preserve"> с ведома или молчаливого согласия </w:t>
      </w:r>
      <w:r>
        <w:rPr>
          <w:rFonts w:ascii="Times New Roman" w:cs="Times New Roman" w:hAnsi="Times New Roman"/>
          <w:sz w:val="24"/>
          <w:szCs w:val="24"/>
        </w:rPr>
        <w:t>сотрудника правоохранительного органа</w:t>
      </w:r>
      <w:r>
        <w:rPr>
          <w:rFonts w:ascii="Times New Roman" w:cs="Times New Roman" w:eastAsia="Times New Roman" w:hAnsi="Times New Roman"/>
          <w:sz w:val="24"/>
          <w:szCs w:val="24"/>
          <w:lang w:eastAsia="ru-RU"/>
        </w:rPr>
        <w:t xml:space="preserve">». </w:t>
      </w:r>
    </w:p>
    <w:p w14:paraId="00000024">
      <w:pPr>
        <w:pStyle w:val="NoSpacing"/>
        <w:ind w:firstLine="709"/>
        <w:jc w:val="both"/>
        <w:rPr>
          <w:rFonts w:ascii="Times New Roman" w:hAnsi="Times New Roman"/>
          <w:sz w:val="24"/>
          <w:szCs w:val="24"/>
        </w:rPr>
      </w:pPr>
      <w:r>
        <w:rPr>
          <w:rFonts w:ascii="Times New Roman" w:hAnsi="Times New Roman"/>
          <w:sz w:val="24"/>
          <w:szCs w:val="24"/>
        </w:rPr>
        <w:t xml:space="preserve">В части разграничения составов должностных преступлений и ст. 201 УК РФ, посягающую на интересы службы в коммерческих и иных организациях, предлагается квалифицировать преступное посягательство по следующим правилам: если субъект управляет юридическим лицом, кроме предусмотренных в прим. к ст. 285 УК РФ юридических лиц с высокой степенью государственного участия, то он может быть привлечен к ответственности только за злоупотребление полномочиями. В противном случае его действия подлежат квалификации по составам должностных преступлений. </w:t>
      </w:r>
    </w:p>
    <w:p w14:paraId="00000025">
      <w:pPr>
        <w:pStyle w:val="NoSpacing"/>
        <w:ind w:firstLine="709"/>
        <w:jc w:val="both"/>
        <w:rPr>
          <w:rFonts w:ascii="Times New Roman" w:hAnsi="Times New Roman"/>
          <w:sz w:val="24"/>
          <w:szCs w:val="24"/>
        </w:rPr>
      </w:pPr>
      <w:r>
        <w:rPr>
          <w:rFonts w:ascii="Times New Roman" w:hAnsi="Times New Roman"/>
          <w:sz w:val="24"/>
          <w:szCs w:val="24"/>
        </w:rPr>
        <w:t>П</w:t>
      </w:r>
      <w:r>
        <w:rPr>
          <w:rFonts w:ascii="Times New Roman" w:hAnsi="Times New Roman"/>
          <w:sz w:val="24"/>
          <w:szCs w:val="24"/>
        </w:rPr>
        <w:t>олагаем необходимым, аналогично существованию отдельных составов злоупотребления должностными полномочиями (ст. 285 УК РФ) и превышения должностных полномочий (ст. 286 УК РФ), предусмотреть аналогичное деление в отношении посягательств, совершаемых в коммерческих и иных организациях. Для этого гл. 23 УК РФ нужно дополнить ст. 201.1 УК РФ, предусматривающей ответственность за злоупотребление полномочиями в коммерческих и иных организациях.</w:t>
      </w:r>
    </w:p>
    <w:p w14:paraId="00000026">
      <w:pPr>
        <w:pStyle w:val="NoSpacing"/>
        <w:ind w:firstLine="709"/>
        <w:jc w:val="both"/>
        <w:rPr>
          <w:rFonts w:ascii="Times New Roman" w:hAnsi="Times New Roman"/>
          <w:sz w:val="24"/>
          <w:szCs w:val="24"/>
        </w:rPr>
      </w:pPr>
    </w:p>
    <w:p w14:paraId="00000027">
      <w:pPr>
        <w:tabs>
          <w:tab w:val="left" w:pos="1695"/>
        </w:tabs>
        <w:spacing w:after="0" w:line="240" w:lineRule="auto"/>
        <w:jc w:val="center"/>
        <w:rPr>
          <w:rFonts w:ascii="Times New Roman" w:cs="Times New Roman" w:hAnsi="Times New Roman"/>
          <w:color w:val="000000" w:themeColor="text1"/>
          <w:sz w:val="24"/>
          <w:szCs w:val="24"/>
        </w:rPr>
      </w:pPr>
      <w:r>
        <w:rPr>
          <w:rFonts w:ascii="Times New Roman" w:cs="Times New Roman" w:hAnsi="Times New Roman"/>
          <w:color w:val="000000" w:themeColor="text1"/>
          <w:sz w:val="24"/>
          <w:szCs w:val="24"/>
        </w:rPr>
        <w:t>Список литературы</w:t>
      </w:r>
    </w:p>
    <w:p w14:paraId="00000028">
      <w:pPr>
        <w:pStyle w:val="ListParagraph"/>
        <w:numPr>
          <w:ilvl w:val="0"/>
          <w:numId w:val="1"/>
        </w:numPr>
        <w:tabs>
          <w:tab w:val="left" w:pos="927"/>
        </w:tabs>
        <w:spacing w:after="0" w:line="240" w:lineRule="auto"/>
        <w:jc w:val="both"/>
        <w:rPr>
          <w:rFonts w:ascii="Times New Roman" w:cs="Times New Roman" w:hAnsi="Times New Roman"/>
          <w:sz w:val="24"/>
          <w:szCs w:val="24"/>
        </w:rPr>
      </w:pPr>
      <w:r>
        <w:rPr>
          <w:rFonts w:ascii="Times New Roman" w:cs="Times New Roman" w:hAnsi="Times New Roman"/>
          <w:sz w:val="24"/>
          <w:szCs w:val="24"/>
        </w:rPr>
        <w:t>Окутина</w:t>
      </w:r>
      <w:r>
        <w:rPr>
          <w:rFonts w:ascii="Times New Roman" w:cs="Times New Roman" w:hAnsi="Times New Roman"/>
          <w:sz w:val="24"/>
          <w:szCs w:val="24"/>
        </w:rPr>
        <w:t>, Н. Н. Противодействие коррупции: учебник для высшего образования / Н. Н. </w:t>
      </w:r>
      <w:r>
        <w:rPr>
          <w:rFonts w:ascii="Times New Roman" w:cs="Times New Roman" w:hAnsi="Times New Roman"/>
          <w:sz w:val="24"/>
          <w:szCs w:val="24"/>
        </w:rPr>
        <w:t>Окутина</w:t>
      </w:r>
      <w:r>
        <w:rPr>
          <w:rFonts w:ascii="Times New Roman" w:cs="Times New Roman" w:hAnsi="Times New Roman"/>
          <w:sz w:val="24"/>
          <w:szCs w:val="24"/>
        </w:rPr>
        <w:t xml:space="preserve">. — 2-е изд., </w:t>
      </w:r>
      <w:r>
        <w:rPr>
          <w:rFonts w:ascii="Times New Roman" w:cs="Times New Roman" w:hAnsi="Times New Roman"/>
          <w:sz w:val="24"/>
          <w:szCs w:val="24"/>
        </w:rPr>
        <w:t>перераб</w:t>
      </w:r>
      <w:r>
        <w:rPr>
          <w:rFonts w:ascii="Times New Roman" w:cs="Times New Roman" w:hAnsi="Times New Roman"/>
          <w:sz w:val="24"/>
          <w:szCs w:val="24"/>
        </w:rPr>
        <w:t>.</w:t>
      </w:r>
      <w:r>
        <w:rPr>
          <w:rFonts w:ascii="Times New Roman" w:cs="Times New Roman" w:hAnsi="Times New Roman"/>
          <w:sz w:val="24"/>
          <w:szCs w:val="24"/>
        </w:rPr>
        <w:t xml:space="preserve"> и доп. — Москва: Издательство </w:t>
      </w:r>
      <w:r>
        <w:rPr>
          <w:rFonts w:ascii="Times New Roman" w:cs="Times New Roman" w:hAnsi="Times New Roman"/>
          <w:sz w:val="24"/>
          <w:szCs w:val="24"/>
        </w:rPr>
        <w:t>Юрайт</w:t>
      </w:r>
      <w:r>
        <w:rPr>
          <w:rFonts w:ascii="Times New Roman" w:cs="Times New Roman" w:hAnsi="Times New Roman"/>
          <w:sz w:val="24"/>
          <w:szCs w:val="24"/>
        </w:rPr>
        <w:t>, 2026. — 296 с. </w:t>
      </w:r>
    </w:p>
    <w:p w14:paraId="00000029">
      <w:pPr>
        <w:pStyle w:val="Footnotetext"/>
        <w:numPr>
          <w:ilvl w:val="0"/>
          <w:numId w:val="1"/>
        </w:numPr>
        <w:jc w:val="both"/>
        <w:rPr>
          <w:rFonts w:ascii="Times New Roman" w:cs="Times New Roman" w:hAnsi="Times New Roman"/>
          <w:sz w:val="24"/>
          <w:szCs w:val="24"/>
        </w:rPr>
      </w:pPr>
      <w:r>
        <w:rPr>
          <w:rFonts w:ascii="Times New Roman" w:cs="Times New Roman" w:hAnsi="Times New Roman"/>
          <w:sz w:val="24"/>
          <w:szCs w:val="24"/>
        </w:rPr>
        <w:t>Прилепова</w:t>
      </w:r>
      <w:r>
        <w:rPr>
          <w:rFonts w:ascii="Times New Roman" w:cs="Times New Roman" w:hAnsi="Times New Roman"/>
          <w:sz w:val="24"/>
          <w:szCs w:val="24"/>
        </w:rPr>
        <w:t>, Ю.П., Гулина, А.В. Проблемные вопросы правоприменительной практики злоупотребления должностными полномочиями и превышения должностных полномочий //Экономика и юриспруденция. 2023. № 2. - С. 45 - 46.</w:t>
      </w:r>
    </w:p>
    <w:p w14:paraId="0000002A">
      <w:pPr>
        <w:pStyle w:val="Footnotetext"/>
        <w:numPr>
          <w:ilvl w:val="0"/>
          <w:numId w:val="1"/>
        </w:numPr>
        <w:jc w:val="both"/>
        <w:rPr>
          <w:rFonts w:ascii="Times New Roman" w:cs="Times New Roman" w:hAnsi="Times New Roman"/>
          <w:sz w:val="24"/>
          <w:szCs w:val="24"/>
        </w:rPr>
      </w:pPr>
      <w:r>
        <w:rPr>
          <w:rFonts w:ascii="Times New Roman" w:cs="Times New Roman" w:hAnsi="Times New Roman"/>
          <w:sz w:val="24"/>
          <w:szCs w:val="24"/>
        </w:rPr>
        <w:t>Смелова, С.В. Уголовная ответственность за превышение должностных полномочий // Вестник Московской государственной юридической академии им О. Е. Кутафина. 2017. № 12. - С. 33-44</w:t>
      </w:r>
    </w:p>
    <w:p w14:paraId="0000002B">
      <w:pPr>
        <w:pStyle w:val="Footnotetext"/>
        <w:numPr>
          <w:ilvl w:val="0"/>
          <w:numId w:val="1"/>
        </w:numPr>
        <w:jc w:val="both"/>
        <w:rPr>
          <w:rFonts w:ascii="Times New Roman" w:cs="Times New Roman" w:hAnsi="Times New Roman"/>
          <w:sz w:val="24"/>
          <w:szCs w:val="24"/>
        </w:rPr>
      </w:pPr>
      <w:r>
        <w:rPr>
          <w:rFonts w:ascii="Times New Roman" w:cs="Times New Roman" w:hAnsi="Times New Roman"/>
          <w:sz w:val="24"/>
          <w:szCs w:val="24"/>
        </w:rPr>
        <w:t xml:space="preserve">Федосеев, К.В., Попов, П.А. Субъективные признаки превышения должностных полномочий // Вестник Пермского института ФСИН России. 2022. № 2 (45). - С. 94-95. </w:t>
      </w:r>
    </w:p>
    <w:p w14:paraId="0000002C"/>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styleId="Normal(Web)">
    <w:name w:val="Normal (Web)"/>
    <w:aliases w:val="Обычный (веб)"/>
    <w:basedOn w:val="Normal"/>
    <w:link w:val="Обычный(Интернет)Знак"/>
    <w:uiPriority w:val="99"/>
    <w:unhideWhenUsed w:val="on"/>
    <w:qFormat w:val="on"/>
    <w:pPr>
      <w:spacing w:before="100" w:after="100" w:line="240" w:lineRule="auto"/>
    </w:pPr>
    <w:rPr>
      <w:rFonts w:ascii="Times New Roman" w:cs="Times New Roman" w:eastAsia="Times New Roman" w:hAnsi="Times New Roman"/>
      <w:sz w:val="24"/>
      <w:szCs w:val="24"/>
      <w:lang w:eastAsia="ru-RU"/>
    </w:rPr>
  </w:style>
  <w:style w:type="character" w:customStyle="1" w:styleId="Обычный(Интернет)Знак">
    <w:name w:val="Обычный (Интернет) Знак"/>
    <w:aliases w:val="Обычный (веб) Знак1"/>
    <w:link w:val="Normal(Web)"/>
    <w:uiPriority w:val="99"/>
    <w:rPr>
      <w:rFonts w:ascii="Times New Roman" w:cs="Times New Roman" w:eastAsia="Times New Roman" w:hAnsi="Times New Roman"/>
      <w:sz w:val="24"/>
      <w:szCs w:val="24"/>
      <w:lang w:eastAsia="ru-RU"/>
    </w:rPr>
  </w:style>
  <w:style w:type="paragraph" w:customStyle="1" w:styleId="Default">
    <w:name w:val="Default"/>
    <w:uiPriority w:val="99"/>
    <w:qFormat w:val="on"/>
    <w:pPr>
      <w:spacing w:after="0" w:line="240" w:lineRule="auto"/>
    </w:pPr>
    <w:rPr>
      <w:rFonts w:ascii="Times New Roman" w:cs="Times New Roman" w:hAnsi="Times New Roman"/>
      <w:color w:val="00000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 Сутягина</dc:creator>
  <cp:lastModifiedBy>Елизавета Сутягина</cp:lastModifiedBy>
</cp:coreProperties>
</file>