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0DAF" w:rsidRPr="00AC20D4" w:rsidRDefault="006F0DAF" w:rsidP="006F0DAF">
      <w:pPr>
        <w:spacing w:after="0" w:line="240" w:lineRule="auto"/>
        <w:jc w:val="center"/>
        <w:rPr>
          <w:lang w:val="ru-RU"/>
        </w:rPr>
      </w:pPr>
      <w:r w:rsidRPr="00925102">
        <w:rPr>
          <w:lang w:val="ru-RU"/>
        </w:rPr>
        <w:t xml:space="preserve">Гибридная модель краткосрочного прогнозирования цен закрытия акций на основе стохастической волатильности, фильтра Калмана и </w:t>
      </w:r>
      <w:r>
        <w:rPr>
          <w:lang w:val="ru-RU"/>
        </w:rPr>
        <w:t>рекуррентной нейросети</w:t>
      </w:r>
    </w:p>
    <w:p w:rsidR="009D3594" w:rsidRPr="009D3594" w:rsidRDefault="009D3594" w:rsidP="006F0DAF">
      <w:pPr>
        <w:spacing w:after="0" w:line="240" w:lineRule="auto"/>
        <w:jc w:val="center"/>
        <w:rPr>
          <w:rFonts w:cs="Times New Roman"/>
          <w:color w:val="000000" w:themeColor="text1"/>
          <w:lang w:val="ru-RU" w:eastAsia="ru-RU"/>
        </w:rPr>
      </w:pPr>
      <w:r w:rsidRPr="009D3594">
        <w:rPr>
          <w:rFonts w:cs="Times New Roman"/>
          <w:color w:val="000000" w:themeColor="text1"/>
          <w:lang w:val="ru-RU" w:eastAsia="ru-RU"/>
        </w:rPr>
        <w:t>Парфиров Денис Андреевич</w:t>
      </w:r>
    </w:p>
    <w:p w:rsidR="009D3594" w:rsidRPr="009D3594" w:rsidRDefault="009D3594" w:rsidP="00F023FE">
      <w:pPr>
        <w:spacing w:after="0" w:line="240" w:lineRule="auto"/>
        <w:jc w:val="center"/>
        <w:rPr>
          <w:rFonts w:cs="Times New Roman"/>
          <w:color w:val="000000" w:themeColor="text1"/>
          <w:lang w:val="ru-RU" w:eastAsia="ru-RU"/>
        </w:rPr>
      </w:pPr>
      <w:r w:rsidRPr="009D3594">
        <w:rPr>
          <w:rFonts w:cs="Times New Roman"/>
          <w:color w:val="000000" w:themeColor="text1"/>
          <w:lang w:val="ru-RU" w:eastAsia="ru-RU"/>
        </w:rPr>
        <w:t>Аспирант кафедры высшей математики</w:t>
      </w:r>
    </w:p>
    <w:p w:rsidR="009D3594" w:rsidRPr="009D3594" w:rsidRDefault="009D3594" w:rsidP="00F023FE">
      <w:pPr>
        <w:spacing w:after="0" w:line="240" w:lineRule="auto"/>
        <w:jc w:val="center"/>
        <w:rPr>
          <w:rFonts w:cs="Times New Roman"/>
          <w:color w:val="000000" w:themeColor="text1"/>
          <w:lang w:val="ru-RU" w:eastAsia="ru-RU"/>
        </w:rPr>
      </w:pPr>
      <w:r w:rsidRPr="009D3594">
        <w:rPr>
          <w:rFonts w:cs="Times New Roman"/>
          <w:color w:val="000000" w:themeColor="text1"/>
          <w:lang w:val="ru-RU" w:eastAsia="ru-RU"/>
        </w:rPr>
        <w:t>Цыганов Андрей Владимирович</w:t>
      </w:r>
    </w:p>
    <w:p w:rsidR="009D3594" w:rsidRPr="009D3594" w:rsidRDefault="009D3594" w:rsidP="00F023FE">
      <w:pPr>
        <w:spacing w:after="0" w:line="240" w:lineRule="auto"/>
        <w:jc w:val="center"/>
        <w:rPr>
          <w:rFonts w:cs="Times New Roman"/>
          <w:color w:val="000000" w:themeColor="text1"/>
          <w:lang w:val="ru-RU" w:eastAsia="ru-RU"/>
        </w:rPr>
      </w:pPr>
      <w:r w:rsidRPr="009D3594">
        <w:rPr>
          <w:rFonts w:cs="Times New Roman"/>
          <w:color w:val="000000" w:themeColor="text1"/>
          <w:lang w:val="ru-RU" w:eastAsia="ru-RU"/>
        </w:rPr>
        <w:t xml:space="preserve">Научный руководитель, </w:t>
      </w:r>
      <w:r w:rsidRPr="009D3594">
        <w:rPr>
          <w:rFonts w:cs="Times New Roman"/>
          <w:lang w:val="ru-RU"/>
        </w:rPr>
        <w:t>доцент, к. ф.-</w:t>
      </w:r>
      <w:proofErr w:type="spellStart"/>
      <w:r w:rsidRPr="009D3594">
        <w:rPr>
          <w:rFonts w:cs="Times New Roman"/>
          <w:lang w:val="ru-RU"/>
        </w:rPr>
        <w:t>м.н</w:t>
      </w:r>
      <w:proofErr w:type="spellEnd"/>
      <w:r w:rsidRPr="009D3594">
        <w:rPr>
          <w:rFonts w:cs="Times New Roman"/>
          <w:lang w:val="ru-RU"/>
        </w:rPr>
        <w:t>., профессор кафедры высшей математики</w:t>
      </w:r>
    </w:p>
    <w:p w:rsidR="009D3594" w:rsidRPr="006F0DAF" w:rsidRDefault="009D3594" w:rsidP="00F023FE">
      <w:pPr>
        <w:spacing w:after="0" w:line="240" w:lineRule="auto"/>
        <w:jc w:val="center"/>
        <w:rPr>
          <w:rFonts w:cs="Times New Roman"/>
          <w:lang w:val="ru-RU"/>
        </w:rPr>
      </w:pPr>
      <w:r w:rsidRPr="009D3594">
        <w:rPr>
          <w:rFonts w:cs="Times New Roman"/>
          <w:lang w:val="ru-RU"/>
        </w:rPr>
        <w:t xml:space="preserve">Факультет физико-математического и технологического образования </w:t>
      </w:r>
      <w:proofErr w:type="spellStart"/>
      <w:r w:rsidRPr="009D3594">
        <w:rPr>
          <w:rFonts w:cs="Times New Roman"/>
          <w:lang w:val="ru-RU"/>
        </w:rPr>
        <w:t>УлГПУ</w:t>
      </w:r>
      <w:proofErr w:type="spellEnd"/>
      <w:r>
        <w:rPr>
          <w:rFonts w:cs="Times New Roman"/>
        </w:rPr>
        <w:t> </w:t>
      </w:r>
      <w:r w:rsidRPr="009D3594">
        <w:rPr>
          <w:rFonts w:cs="Times New Roman"/>
          <w:lang w:val="ru-RU"/>
        </w:rPr>
        <w:t>им.</w:t>
      </w:r>
      <w:r>
        <w:rPr>
          <w:rFonts w:cs="Times New Roman"/>
        </w:rPr>
        <w:t> </w:t>
      </w:r>
      <w:r w:rsidRPr="006F0DAF">
        <w:rPr>
          <w:rFonts w:cs="Times New Roman"/>
          <w:lang w:val="ru-RU"/>
        </w:rPr>
        <w:t>И.Н.</w:t>
      </w:r>
      <w:r>
        <w:rPr>
          <w:rFonts w:cs="Times New Roman"/>
        </w:rPr>
        <w:t> </w:t>
      </w:r>
      <w:r w:rsidRPr="006F0DAF">
        <w:rPr>
          <w:rFonts w:cs="Times New Roman"/>
          <w:lang w:val="ru-RU"/>
        </w:rPr>
        <w:t>Ульянова</w:t>
      </w:r>
    </w:p>
    <w:p w:rsidR="009D3594" w:rsidRPr="009D3594" w:rsidRDefault="009D3594">
      <w:pPr>
        <w:spacing w:after="120" w:line="240" w:lineRule="auto"/>
        <w:jc w:val="center"/>
        <w:rPr>
          <w:lang w:val="ru-RU"/>
        </w:rPr>
      </w:pPr>
    </w:p>
    <w:p w:rsidR="00DF6C53" w:rsidRPr="009D3594" w:rsidRDefault="00000000">
      <w:pPr>
        <w:spacing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Ключевые слова: краткосрочное прогнозирование; стохастическая волатильность; расширенный фильтр Калмана; </w:t>
      </w:r>
      <w:r>
        <w:t>LSTM</w:t>
      </w:r>
      <w:r w:rsidRPr="009D3594">
        <w:rPr>
          <w:lang w:val="ru-RU"/>
        </w:rPr>
        <w:t xml:space="preserve">; финансовые временные ряды; </w:t>
      </w:r>
      <w:r>
        <w:t>Microsoft</w:t>
      </w:r>
      <w:r w:rsidRPr="009D3594">
        <w:rPr>
          <w:lang w:val="ru-RU"/>
        </w:rPr>
        <w:t>.</w:t>
      </w:r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Актуальность исследования определяется высокой практической значимостью краткосрочного прогнозирования цен закрытия </w:t>
      </w:r>
      <w:r w:rsidR="009D3594" w:rsidRPr="009D3594">
        <w:rPr>
          <w:lang w:val="ru-RU"/>
        </w:rPr>
        <w:t xml:space="preserve">акций с активной торговлей </w:t>
      </w:r>
      <w:r w:rsidRPr="009D3594">
        <w:rPr>
          <w:lang w:val="ru-RU"/>
        </w:rPr>
        <w:t xml:space="preserve">для задач управления рыночным риском, поддержки инвестиционных решений и построения алгоритмических торговых стратегий. </w:t>
      </w:r>
      <w:r w:rsidR="009D3594" w:rsidRPr="009D3594">
        <w:rPr>
          <w:rFonts w:hint="cs"/>
          <w:lang w:val="ru-RU"/>
        </w:rPr>
        <w:t>Финансовые временные ряды характеризуются высокой изменчивостью</w:t>
      </w:r>
      <w:r w:rsidRPr="009D3594">
        <w:rPr>
          <w:lang w:val="ru-RU"/>
        </w:rPr>
        <w:t>, сменой режимов динамики, кластеризацией волатильности и наличием скрытых факторов, которые не наблюдаются непосредственно в ценовых данных. В связи с этим применение только классических линейных моделей либо только нейросетевых подходов часто оказывается недостаточным: первые упрощают структуру рыночной изменчивости, тогда как вторые снижают интерпретируемость процесса прогнозирования. Перспективным направлением становятся гибридные схемы, объединяющие статистические модели состояния и современные методы машинного обучения [1, 2].</w:t>
      </w:r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Цель работы заключается в разработке и апробации гибридной модели краткосрочного прогнозирования цены закрытия акций </w:t>
      </w:r>
      <w:r>
        <w:t>Microsoft</w:t>
      </w:r>
      <w:r w:rsidRPr="009D3594">
        <w:rPr>
          <w:lang w:val="ru-RU"/>
        </w:rPr>
        <w:t xml:space="preserve"> </w:t>
      </w:r>
      <w:r>
        <w:t>Corp</w:t>
      </w:r>
      <w:r w:rsidRPr="009D3594">
        <w:rPr>
          <w:lang w:val="ru-RU"/>
        </w:rPr>
        <w:t>. (</w:t>
      </w:r>
      <w:r>
        <w:t>MSFT</w:t>
      </w:r>
      <w:r w:rsidRPr="009D3594">
        <w:rPr>
          <w:lang w:val="ru-RU"/>
        </w:rPr>
        <w:t xml:space="preserve">), в которой оценки скрытой волатильности предварительно восстанавливаются в рамках модели состояния-наблюдения, а затем используются как дополнительные признаки при обучении сети </w:t>
      </w:r>
      <w:r>
        <w:t>LSTM</w:t>
      </w:r>
      <w:r w:rsidRPr="009D3594">
        <w:rPr>
          <w:lang w:val="ru-RU"/>
        </w:rPr>
        <w:t xml:space="preserve">. Научная идея исследования состоит в том, чтобы вынести информацию о режиме рыночной изменчивости из неявного пространства параметров сети в отдельный интерпретируемый блок. </w:t>
      </w:r>
      <w:r w:rsidR="009D3594" w:rsidRPr="009D3594">
        <w:rPr>
          <w:rFonts w:hint="cs"/>
          <w:lang w:val="ru-RU"/>
        </w:rPr>
        <w:t>Такая постановка позволяет согласовать вероятностное описание скрытого состояния с нелинейными возможностями рекуррентной нейронной сети и тем самым повысить качество прогноза без радикального усложнения архитектуры</w:t>
      </w:r>
      <w:r w:rsidRPr="009D3594">
        <w:rPr>
          <w:lang w:val="ru-RU"/>
        </w:rPr>
        <w:t>.</w:t>
      </w:r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Информационной основой исследования послужили дневные биржевые данные по акциям </w:t>
      </w:r>
      <w:r>
        <w:t>Microsoft</w:t>
      </w:r>
      <w:r w:rsidRPr="009D3594">
        <w:rPr>
          <w:lang w:val="ru-RU"/>
        </w:rPr>
        <w:t xml:space="preserve"> за период с 01.01.2012 по 26.04.2026, включающие цены открытия, максимума, минимума и закрытия торговой сессии. На этапе предварительной обработки из цен закрытия были вычислены логарифмические доходности, а исходные ценовые признаки приведены к масштабу, удобному для нейросетевого обучения. Использование достаточно длинного временного интервала позволило включить в анализ как спокойные рыночные фазы, так и периоды повышенной турбулентности, что важно для проверки устойчивости модели на участках с различной амплитудой колебаний.</w:t>
      </w:r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На первом вычислительном этапе была использована модель стохастической волатильности в классической постановке Тейлора [3], где скрытое состояние интерпретируется как логарифм мгновенной волатильности и эволюционирует по </w:t>
      </w:r>
      <w:r w:rsidR="009D3594" w:rsidRPr="009D3594">
        <w:rPr>
          <w:lang w:val="ru-RU"/>
        </w:rPr>
        <w:t>авто регрессионному</w:t>
      </w:r>
      <w:r w:rsidRPr="009D3594">
        <w:rPr>
          <w:lang w:val="ru-RU"/>
        </w:rPr>
        <w:t xml:space="preserve"> закону первого порядка. По ряду квадратов доходностей были идентифицированы параметры модели, которые в рассматриваемом эксперименте составили </w:t>
      </w:r>
      <w:r>
        <w:t>φ</w:t>
      </w:r>
      <w:r w:rsidRPr="009D3594">
        <w:rPr>
          <w:lang w:val="ru-RU"/>
        </w:rPr>
        <w:t xml:space="preserve"> = 0,895, </w:t>
      </w:r>
      <w:r>
        <w:t>σ</w:t>
      </w:r>
      <w:r w:rsidRPr="009D3594">
        <w:rPr>
          <w:lang w:val="ru-RU"/>
        </w:rPr>
        <w:t>_</w:t>
      </w:r>
      <w:r>
        <w:t>h</w:t>
      </w:r>
      <w:r w:rsidRPr="009D3594">
        <w:rPr>
          <w:lang w:val="ru-RU"/>
        </w:rPr>
        <w:t xml:space="preserve"> = 0,402 и </w:t>
      </w:r>
      <w:r>
        <w:t>σ</w:t>
      </w:r>
      <w:r w:rsidRPr="009D3594">
        <w:rPr>
          <w:lang w:val="ru-RU"/>
        </w:rPr>
        <w:t>_</w:t>
      </w:r>
      <w:r>
        <w:t>y</w:t>
      </w:r>
      <w:r w:rsidRPr="009D3594">
        <w:rPr>
          <w:lang w:val="ru-RU"/>
        </w:rPr>
        <w:t xml:space="preserve"> = 0,0129. Выбор именно этой модели связан с тем, что она позволяет явно описывать скрытую изменчивость, которая оказывает существенное влияние на форму ценовой траектории, но не фиксируется напрямую в обычном наборе биржевых признаков.</w:t>
      </w:r>
    </w:p>
    <w:p w:rsidR="00DF6C53" w:rsidRPr="009D3594" w:rsidRDefault="00000000">
      <w:pPr>
        <w:spacing w:after="12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После оценки параметров модели была выполнена расширенная </w:t>
      </w:r>
      <w:proofErr w:type="spellStart"/>
      <w:r w:rsidRPr="009D3594">
        <w:rPr>
          <w:lang w:val="ru-RU"/>
        </w:rPr>
        <w:t>калмановская</w:t>
      </w:r>
      <w:proofErr w:type="spellEnd"/>
      <w:r w:rsidRPr="009D3594">
        <w:rPr>
          <w:lang w:val="ru-RU"/>
        </w:rPr>
        <w:t xml:space="preserve"> фильтрация, реализующая последовательные шаги прогноза и коррекции для скрытого состояния [4]. В качестве наблюдаемой величины рассматривался квадрат доходности, а на </w:t>
      </w:r>
      <w:r w:rsidRPr="009D3594">
        <w:rPr>
          <w:lang w:val="ru-RU"/>
        </w:rPr>
        <w:lastRenderedPageBreak/>
        <w:t>выходе фильтра формировались сглаженные оценки скрытого состояния ĥ_</w:t>
      </w:r>
      <w:r>
        <w:t>t</w:t>
      </w:r>
      <w:r w:rsidRPr="009D3594">
        <w:rPr>
          <w:lang w:val="ru-RU"/>
        </w:rPr>
        <w:t>|</w:t>
      </w:r>
      <w:r>
        <w:t>t</w:t>
      </w:r>
      <w:r w:rsidRPr="009D3594">
        <w:rPr>
          <w:lang w:val="ru-RU"/>
        </w:rPr>
        <w:t xml:space="preserve"> и условной волатильности </w:t>
      </w:r>
      <w:r>
        <w:t>σ</w:t>
      </w:r>
      <w:r w:rsidRPr="009D3594">
        <w:rPr>
          <w:lang w:val="ru-RU"/>
        </w:rPr>
        <w:t>_</w:t>
      </w:r>
      <w:r>
        <w:t>t</w:t>
      </w:r>
      <w:r w:rsidRPr="009D3594">
        <w:rPr>
          <w:lang w:val="ru-RU"/>
        </w:rPr>
        <w:t>^</w:t>
      </w:r>
      <w:proofErr w:type="spellStart"/>
      <w:r>
        <w:t>ekf</w:t>
      </w:r>
      <w:proofErr w:type="spellEnd"/>
      <w:r w:rsidRPr="009D3594">
        <w:rPr>
          <w:lang w:val="ru-RU"/>
        </w:rPr>
        <w:t>. Именно этот этап обеспечивает переход от исходного ценового ряда к более содержательному описанию рыночного режима: сеть получает информацию не только о текущих ценовых уровнях, но и о том, в условиях какой изменчивости формируется наблюдаемая динамика.</w:t>
      </w:r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=ln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</w:rPr>
                          </m:ctrlPr>
                        </m:box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box>
                            </m:num>
                            <m:den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  <m:sub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box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-1</m:t>
                                          </m:r>
                                        </m:e>
                                      </m:box>
                                    </m:sub>
                                  </m:sSub>
                                </m:e>
                              </m:box>
                            </m:den>
                          </m:f>
                        </m:e>
                      </m:box>
                    </m:e>
                  </m:d>
                </m:e>
              </m:box>
            </m:e>
          </m:box>
        </m:oMath>
      </m:oMathPara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ϕ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e>
                  </m:box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~N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(0,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box>
        </m:oMath>
      </m:oMathPara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</w:rPr>
                          </m:ctrlPr>
                        </m:box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box>
                            </m:num>
                            <m:den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box>
                            </m:den>
                          </m:f>
                        </m:e>
                      </m:box>
                    </m:e>
                  </m:d>
                </m:e>
              </m:box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~N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(0,1)</m:t>
              </m:r>
            </m:e>
          </m:box>
        </m:oMath>
      </m:oMathPara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exp(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box>
        </m:oMath>
      </m:oMathPara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ekf</m:t>
                      </m:r>
                    </m:e>
                  </m:box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</w:rPr>
                          </m:ctrlPr>
                        </m:box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ˆ"/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h</m:t>
                                          </m:r>
                                        </m:e>
                                      </m:acc>
                                    </m:e>
                                    <m:sub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box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|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e>
                                      </m:box>
                                    </m:sub>
                                  </m:sSub>
                                </m:e>
                              </m:box>
                            </m:num>
                            <m:den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box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box>
                            </m:den>
                          </m:f>
                        </m:e>
                      </m:box>
                    </m:e>
                  </m:d>
                </m:e>
              </m:box>
            </m:e>
          </m:box>
        </m:oMath>
      </m:oMathPara>
    </w:p>
    <w:p w:rsidR="00DF6C53" w:rsidRDefault="00000000">
      <w:pPr>
        <w:spacing w:after="120" w:line="240" w:lineRule="auto"/>
        <w:jc w:val="center"/>
      </w:pPr>
      <m:oMathPara>
        <m:oMath>
          <m:box>
            <m:boxPr>
              <m:ctrlPr>
                <w:rPr>
                  <w:rFonts w:ascii="Cambria Math" w:hAnsi="Cambria Math"/>
                </w:rPr>
              </m:ctrlPr>
            </m:box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  <m:sub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e>
                  </m:box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LSTM</m:t>
                      </m:r>
                    </m:e>
                  </m:box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OHL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</m:acc>
                </m:e>
                <m:sub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box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box>
                    <m:boxPr>
                      <m:ctrlPr>
                        <w:rPr>
                          <w:rFonts w:ascii="Cambria Math" w:hAnsi="Cambria Math"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ekf</m:t>
                      </m:r>
                    </m:e>
                  </m:box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box>
        </m:oMath>
      </m:oMathPara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На следующем этапе строилась рекуррентная нейронная сеть с долгой краткосрочной памятью, поскольку архитектура </w:t>
      </w:r>
      <w:r>
        <w:t>LSTM</w:t>
      </w:r>
      <w:r w:rsidRPr="009D3594">
        <w:rPr>
          <w:lang w:val="ru-RU"/>
        </w:rPr>
        <w:t xml:space="preserve"> хорошо адаптирована к обработке последовательностей с длительными временными зависимостями и локальными нелинейностями [5]. В эксперименте использовалась конфигурация из двух последовательных </w:t>
      </w:r>
      <w:r>
        <w:t>LSTM</w:t>
      </w:r>
      <w:r w:rsidRPr="009D3594">
        <w:rPr>
          <w:lang w:val="ru-RU"/>
        </w:rPr>
        <w:t xml:space="preserve">-слоёв по 50 нейронов с последующими </w:t>
      </w:r>
      <w:r w:rsidR="009D3594" w:rsidRPr="009D3594">
        <w:rPr>
          <w:lang w:val="ru-RU"/>
        </w:rPr>
        <w:t>полно связными</w:t>
      </w:r>
      <w:r w:rsidRPr="009D3594">
        <w:rPr>
          <w:lang w:val="ru-RU"/>
        </w:rPr>
        <w:t xml:space="preserve"> слоями размерностей 25 и 1. Обучение выполнялось по функции среднеквадратичной ошибки с использованием оптимизатора </w:t>
      </w:r>
      <w:r>
        <w:t>Adam</w:t>
      </w:r>
      <w:r w:rsidR="00980C48" w:rsidRPr="00980C48">
        <w:rPr>
          <w:lang w:val="ru-RU"/>
        </w:rPr>
        <w:t>.</w:t>
      </w:r>
      <w:r w:rsidR="00980C48">
        <w:rPr>
          <w:lang w:val="ru-RU"/>
        </w:rPr>
        <w:t xml:space="preserve"> </w:t>
      </w:r>
      <w:r w:rsidRPr="009D3594">
        <w:rPr>
          <w:lang w:val="ru-RU"/>
        </w:rPr>
        <w:t xml:space="preserve">Базовый вариант сети получал на вход только нормированные признаки </w:t>
      </w:r>
      <w:r>
        <w:t>OHLC</w:t>
      </w:r>
      <w:r w:rsidRPr="009D3594">
        <w:rPr>
          <w:lang w:val="ru-RU"/>
        </w:rPr>
        <w:t>, тогда как гибридный вариант дополнялся фильтрованными оценками ĥ_</w:t>
      </w:r>
      <w:r>
        <w:t>t</w:t>
      </w:r>
      <w:r w:rsidRPr="009D3594">
        <w:rPr>
          <w:lang w:val="ru-RU"/>
        </w:rPr>
        <w:t>|</w:t>
      </w:r>
      <w:r>
        <w:t>t</w:t>
      </w:r>
      <w:r w:rsidRPr="009D3594">
        <w:rPr>
          <w:lang w:val="ru-RU"/>
        </w:rPr>
        <w:t xml:space="preserve"> и </w:t>
      </w:r>
      <w:r>
        <w:t>σ</w:t>
      </w:r>
      <w:r w:rsidRPr="009D3594">
        <w:rPr>
          <w:lang w:val="ru-RU"/>
        </w:rPr>
        <w:t>_</w:t>
      </w:r>
      <w:r>
        <w:t>t</w:t>
      </w:r>
      <w:r w:rsidRPr="009D3594">
        <w:rPr>
          <w:lang w:val="ru-RU"/>
        </w:rPr>
        <w:t>^</w:t>
      </w:r>
      <w:proofErr w:type="spellStart"/>
      <w:r>
        <w:t>ekf</w:t>
      </w:r>
      <w:proofErr w:type="spellEnd"/>
      <w:r w:rsidRPr="009D3594">
        <w:rPr>
          <w:lang w:val="ru-RU"/>
        </w:rPr>
        <w:t>.</w:t>
      </w:r>
    </w:p>
    <w:p w:rsidR="00DF6C53" w:rsidRPr="00980C48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Предлагаемая схема формализуется системой соотношений, включающей определение логарифмической доходности, уравнение динамики скрытого состояния, наблюдательное уравнение для квадрата доходности и нейросетевое отображение, прогнозирующее следующую цену закрытия по набору ценовых и </w:t>
      </w:r>
      <w:proofErr w:type="spellStart"/>
      <w:r w:rsidRPr="009D3594">
        <w:rPr>
          <w:lang w:val="ru-RU"/>
        </w:rPr>
        <w:t>волатильностных</w:t>
      </w:r>
      <w:proofErr w:type="spellEnd"/>
      <w:r w:rsidRPr="009D3594">
        <w:rPr>
          <w:lang w:val="ru-RU"/>
        </w:rPr>
        <w:t xml:space="preserve"> признаков. Тем самым гибридная модель объединяет два взаимодополняющих механизма: интерпретируемое статистическое восстановление скрытой изменчивости и нелинейное обучение сложных временных зависимостей на стороне </w:t>
      </w:r>
      <w:r>
        <w:t>LSTM</w:t>
      </w:r>
      <w:r w:rsidRPr="009D3594">
        <w:rPr>
          <w:lang w:val="ru-RU"/>
        </w:rPr>
        <w:t>.</w:t>
      </w:r>
      <w:r w:rsidR="00980C48">
        <w:rPr>
          <w:lang w:val="ru-RU"/>
        </w:rPr>
        <w:t xml:space="preserve"> </w:t>
      </w:r>
      <w:r w:rsidR="00980C48" w:rsidRPr="00980C48">
        <w:rPr>
          <w:rFonts w:hint="cs"/>
          <w:lang w:val="ru-RU"/>
        </w:rPr>
        <w:t>Данные были разделены на обучающую и тестовую выборки в соотношении 80% к 20% соответственно</w:t>
      </w:r>
      <w:r w:rsidR="00980C48">
        <w:rPr>
          <w:lang w:val="ru-RU"/>
        </w:rPr>
        <w:t xml:space="preserve"> (см</w:t>
      </w:r>
      <w:r w:rsidR="00980C48" w:rsidRPr="00980C48">
        <w:rPr>
          <w:lang w:val="ru-RU"/>
        </w:rPr>
        <w:t xml:space="preserve">. </w:t>
      </w:r>
      <w:r w:rsidR="00980C48">
        <w:rPr>
          <w:lang w:val="ru-RU"/>
        </w:rPr>
        <w:t>рис</w:t>
      </w:r>
      <w:r w:rsidR="00980C48" w:rsidRPr="00980C48">
        <w:rPr>
          <w:lang w:val="ru-RU"/>
        </w:rPr>
        <w:t xml:space="preserve">. </w:t>
      </w:r>
      <w:r w:rsidR="00980C48">
        <w:rPr>
          <w:lang w:val="ru-RU"/>
        </w:rPr>
        <w:t>1)</w:t>
      </w:r>
      <w:r w:rsidR="00980C48" w:rsidRPr="00980C48">
        <w:rPr>
          <w:rFonts w:hint="cs"/>
          <w:lang w:val="ru-RU"/>
        </w:rPr>
        <w:t>.</w:t>
      </w:r>
    </w:p>
    <w:p w:rsidR="00DF6C53" w:rsidRDefault="00000000">
      <w:pPr>
        <w:spacing w:before="160" w:after="160"/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5760000" cy="2570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msft_train_test_spli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7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594" w:rsidRPr="009D3594" w:rsidRDefault="009D3594" w:rsidP="009D3594">
      <w:pPr>
        <w:spacing w:after="120" w:line="240" w:lineRule="auto"/>
        <w:jc w:val="center"/>
        <w:rPr>
          <w:lang w:val="ru-RU"/>
        </w:rPr>
      </w:pPr>
      <w:r w:rsidRPr="009D3594">
        <w:rPr>
          <w:lang w:val="ru-RU"/>
        </w:rPr>
        <w:t>Рис. 1</w:t>
      </w:r>
      <w:r>
        <w:rPr>
          <w:lang w:val="ru-RU"/>
        </w:rPr>
        <w:t xml:space="preserve"> </w:t>
      </w:r>
      <w:r w:rsidRPr="009D3594">
        <w:rPr>
          <w:lang w:val="ru-RU"/>
        </w:rPr>
        <w:t xml:space="preserve">Хронологическое разделение обучающей и тестовой выборок для </w:t>
      </w:r>
      <w:r>
        <w:t>MSFT</w:t>
      </w:r>
    </w:p>
    <w:p w:rsidR="009D3594" w:rsidRPr="009D3594" w:rsidRDefault="009D3594">
      <w:pPr>
        <w:spacing w:before="160" w:after="160"/>
        <w:jc w:val="center"/>
        <w:rPr>
          <w:lang w:val="ru-RU"/>
        </w:rPr>
      </w:pPr>
    </w:p>
    <w:p w:rsidR="00DF6C53" w:rsidRPr="009D3594" w:rsidRDefault="00000000" w:rsidP="009D3594">
      <w:pPr>
        <w:spacing w:after="0" w:line="240" w:lineRule="auto"/>
        <w:jc w:val="right"/>
        <w:rPr>
          <w:lang w:val="ru-RU"/>
        </w:rPr>
      </w:pPr>
      <w:r w:rsidRPr="009D3594">
        <w:rPr>
          <w:lang w:val="ru-RU"/>
        </w:rPr>
        <w:lastRenderedPageBreak/>
        <w:t>Таблица 1</w:t>
      </w:r>
    </w:p>
    <w:p w:rsidR="00DF6C53" w:rsidRPr="009D3594" w:rsidRDefault="00000000" w:rsidP="009D3594">
      <w:pPr>
        <w:spacing w:after="0" w:line="240" w:lineRule="auto"/>
        <w:jc w:val="right"/>
        <w:rPr>
          <w:lang w:val="ru-RU"/>
        </w:rPr>
      </w:pPr>
      <w:r w:rsidRPr="009D3594">
        <w:rPr>
          <w:lang w:val="ru-RU"/>
        </w:rPr>
        <w:t xml:space="preserve">Оценённые параметры модели стохастической волатильности для </w:t>
      </w:r>
      <w:r>
        <w:t>MSFT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DF6C53">
        <w:trPr>
          <w:jc w:val="center"/>
        </w:trPr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Параметр</w:t>
            </w:r>
          </w:p>
        </w:tc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Оценка</w:t>
            </w:r>
          </w:p>
        </w:tc>
      </w:tr>
      <w:tr w:rsidR="00DF6C53">
        <w:trPr>
          <w:jc w:val="center"/>
        </w:trPr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φ</w:t>
            </w:r>
          </w:p>
        </w:tc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0,895</w:t>
            </w:r>
          </w:p>
        </w:tc>
      </w:tr>
      <w:tr w:rsidR="00DF6C53">
        <w:trPr>
          <w:jc w:val="center"/>
        </w:trPr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σ_h</w:t>
            </w:r>
          </w:p>
        </w:tc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0,402</w:t>
            </w:r>
          </w:p>
        </w:tc>
      </w:tr>
      <w:tr w:rsidR="00DF6C53">
        <w:trPr>
          <w:jc w:val="center"/>
        </w:trPr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σ_y</w:t>
            </w:r>
          </w:p>
        </w:tc>
        <w:tc>
          <w:tcPr>
            <w:tcW w:w="4819" w:type="dxa"/>
            <w:vAlign w:val="center"/>
          </w:tcPr>
          <w:p w:rsidR="00DF6C53" w:rsidRDefault="00000000">
            <w:pPr>
              <w:jc w:val="center"/>
            </w:pPr>
            <w:r>
              <w:t>0,0129</w:t>
            </w:r>
          </w:p>
        </w:tc>
      </w:tr>
    </w:tbl>
    <w:p w:rsidR="00F023FE" w:rsidRDefault="00F023FE" w:rsidP="009D3594">
      <w:pPr>
        <w:spacing w:after="0" w:line="240" w:lineRule="auto"/>
        <w:jc w:val="right"/>
        <w:rPr>
          <w:lang w:val="ru-RU"/>
        </w:rPr>
      </w:pPr>
    </w:p>
    <w:p w:rsidR="00DF6C53" w:rsidRDefault="00000000" w:rsidP="009D3594">
      <w:pPr>
        <w:spacing w:after="0" w:line="240" w:lineRule="auto"/>
        <w:jc w:val="right"/>
      </w:pPr>
      <w:proofErr w:type="spellStart"/>
      <w:r>
        <w:t>Таблица</w:t>
      </w:r>
      <w:proofErr w:type="spellEnd"/>
      <w:r>
        <w:t xml:space="preserve"> 2</w:t>
      </w:r>
    </w:p>
    <w:p w:rsidR="00DF6C53" w:rsidRPr="009D3594" w:rsidRDefault="00000000" w:rsidP="009D3594">
      <w:pPr>
        <w:spacing w:after="0" w:line="240" w:lineRule="auto"/>
        <w:jc w:val="right"/>
        <w:rPr>
          <w:lang w:val="ru-RU"/>
        </w:rPr>
      </w:pPr>
      <w:r w:rsidRPr="009D3594">
        <w:rPr>
          <w:lang w:val="ru-RU"/>
        </w:rPr>
        <w:t xml:space="preserve">Сравнение ошибок базовой и гибридной моделей для </w:t>
      </w:r>
      <w:r>
        <w:t>MSFT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DF6C53">
        <w:trPr>
          <w:jc w:val="center"/>
        </w:trPr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Спецификация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RMSE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MAE</w:t>
            </w:r>
          </w:p>
        </w:tc>
      </w:tr>
      <w:tr w:rsidR="00DF6C53">
        <w:trPr>
          <w:jc w:val="center"/>
        </w:trPr>
        <w:tc>
          <w:tcPr>
            <w:tcW w:w="3213" w:type="dxa"/>
            <w:vAlign w:val="center"/>
          </w:tcPr>
          <w:p w:rsidR="00DF6C53" w:rsidRDefault="00000000">
            <w:r>
              <w:t>LSTM (OHLC)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42,97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36,37</w:t>
            </w:r>
          </w:p>
        </w:tc>
      </w:tr>
      <w:tr w:rsidR="00DF6C53">
        <w:trPr>
          <w:jc w:val="center"/>
        </w:trPr>
        <w:tc>
          <w:tcPr>
            <w:tcW w:w="3213" w:type="dxa"/>
            <w:vAlign w:val="center"/>
          </w:tcPr>
          <w:p w:rsidR="00DF6C53" w:rsidRDefault="00000000">
            <w:r>
              <w:t>LSTM (OHLC + EKF)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14,87</w:t>
            </w:r>
          </w:p>
        </w:tc>
        <w:tc>
          <w:tcPr>
            <w:tcW w:w="3213" w:type="dxa"/>
            <w:vAlign w:val="center"/>
          </w:tcPr>
          <w:p w:rsidR="00DF6C53" w:rsidRDefault="00000000">
            <w:pPr>
              <w:jc w:val="center"/>
            </w:pPr>
            <w:r>
              <w:t>11,67</w:t>
            </w:r>
          </w:p>
        </w:tc>
      </w:tr>
    </w:tbl>
    <w:p w:rsidR="00F023FE" w:rsidRDefault="00F023FE">
      <w:pPr>
        <w:spacing w:after="120" w:line="240" w:lineRule="auto"/>
        <w:ind w:firstLine="709"/>
        <w:jc w:val="both"/>
        <w:rPr>
          <w:lang w:val="ru-RU"/>
        </w:rPr>
      </w:pPr>
    </w:p>
    <w:p w:rsidR="00DF6C53" w:rsidRPr="009D3594" w:rsidRDefault="00000000" w:rsidP="00F023FE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Экспериментальная проверка проводилась в режиме хронологического разделения выборки без перемешивания наблюдений, что исключало утечку информации из будущего в прошлое. На обучение модели было выделено 2866 наблюдений, а длина входного окна составила 60 торговых дней. Оценка качества строилась на сравнении двух конфигураций: базовой </w:t>
      </w:r>
      <w:r>
        <w:t>LSTM</w:t>
      </w:r>
      <w:r w:rsidRPr="009D3594">
        <w:rPr>
          <w:lang w:val="ru-RU"/>
        </w:rPr>
        <w:t xml:space="preserve">, использующей только </w:t>
      </w:r>
      <w:r>
        <w:t>OHLC</w:t>
      </w:r>
      <w:r w:rsidRPr="009D3594">
        <w:rPr>
          <w:lang w:val="ru-RU"/>
        </w:rPr>
        <w:t xml:space="preserve">-признаки, и гибридной </w:t>
      </w:r>
      <w:r>
        <w:t>LSTM</w:t>
      </w:r>
      <w:r w:rsidRPr="009D3594">
        <w:rPr>
          <w:lang w:val="ru-RU"/>
        </w:rPr>
        <w:t xml:space="preserve">, дополненной оценками, полученными расширенным фильтром Калмана. В качестве основных метрик использовались </w:t>
      </w:r>
      <w:r>
        <w:t>RMSE</w:t>
      </w:r>
      <w:r w:rsidRPr="009D3594">
        <w:rPr>
          <w:lang w:val="ru-RU"/>
        </w:rPr>
        <w:t xml:space="preserve"> и </w:t>
      </w:r>
      <w:r>
        <w:t>MAE</w:t>
      </w:r>
      <w:r w:rsidRPr="009D3594">
        <w:rPr>
          <w:lang w:val="ru-RU"/>
        </w:rPr>
        <w:t>, позволяющие оценить средний масштаб прогностической ошибки на тестовом участке.</w:t>
      </w:r>
    </w:p>
    <w:p w:rsidR="00980C48" w:rsidRPr="009D3594" w:rsidRDefault="00000000" w:rsidP="00142861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lang w:val="ru-RU"/>
        </w:rPr>
        <w:t xml:space="preserve">Результаты вычислительного эксперимента показали выраженное преимущество гибридной конфигурации над базовой. На тестовом интервале, начинающемся с 25.05.2023, значение </w:t>
      </w:r>
      <w:r>
        <w:t>RMSE</w:t>
      </w:r>
      <w:r w:rsidRPr="009D3594">
        <w:rPr>
          <w:lang w:val="ru-RU"/>
        </w:rPr>
        <w:t xml:space="preserve"> снизилось с 42,97 до 14,87, а значение </w:t>
      </w:r>
      <w:r>
        <w:t>MAE</w:t>
      </w:r>
      <w:r w:rsidRPr="009D3594">
        <w:rPr>
          <w:lang w:val="ru-RU"/>
        </w:rPr>
        <w:t xml:space="preserve"> - с 36,37 до 11,67. Относительное уменьшение </w:t>
      </w:r>
      <w:r>
        <w:t>RMSE</w:t>
      </w:r>
      <w:r w:rsidRPr="009D3594">
        <w:rPr>
          <w:lang w:val="ru-RU"/>
        </w:rPr>
        <w:t xml:space="preserve"> составило 65,39 %, что свидетельствует о высокой информативности дополнительных признаков, характеризующих скрытую волатильность. Полученный эффект показывает, что использование только наблюдаемых ценовых характеристик не позволяет в полной мере восстановить текущий режим рыночной динамики.</w:t>
      </w:r>
    </w:p>
    <w:p w:rsidR="00DF6C53" w:rsidRDefault="009D3594" w:rsidP="00980C48">
      <w:pPr>
        <w:spacing w:after="0" w:line="240" w:lineRule="auto"/>
        <w:ind w:firstLine="709"/>
        <w:jc w:val="both"/>
        <w:rPr>
          <w:lang w:val="ru-RU"/>
        </w:rPr>
      </w:pPr>
      <w:r w:rsidRPr="009D3594">
        <w:rPr>
          <w:rFonts w:hint="cs"/>
          <w:lang w:val="ru-RU"/>
        </w:rPr>
        <w:t>Результаты также подтверждаются графическим анализом</w:t>
      </w:r>
      <w:r w:rsidR="00142861">
        <w:rPr>
          <w:lang w:val="ru-RU"/>
        </w:rPr>
        <w:t xml:space="preserve"> (см</w:t>
      </w:r>
      <w:r w:rsidR="00142861" w:rsidRPr="00142861">
        <w:rPr>
          <w:lang w:val="ru-RU"/>
        </w:rPr>
        <w:t xml:space="preserve">. </w:t>
      </w:r>
      <w:r w:rsidR="00142861">
        <w:rPr>
          <w:lang w:val="ru-RU"/>
        </w:rPr>
        <w:t>рис</w:t>
      </w:r>
      <w:r w:rsidR="00142861" w:rsidRPr="00142861">
        <w:rPr>
          <w:lang w:val="ru-RU"/>
        </w:rPr>
        <w:t>. 3</w:t>
      </w:r>
      <w:r w:rsidR="00142861">
        <w:rPr>
          <w:lang w:val="ru-RU"/>
        </w:rPr>
        <w:t>)</w:t>
      </w:r>
      <w:r w:rsidRPr="009D3594">
        <w:rPr>
          <w:rFonts w:hint="cs"/>
          <w:lang w:val="ru-RU"/>
        </w:rPr>
        <w:t>. Гибридная модель лучше воспроизводит не только общий тренд цены закрытия, но и локальные участки ускорения, замедления и кратковременной смены направления движения цены</w:t>
      </w:r>
      <w:r w:rsidRPr="009D3594">
        <w:rPr>
          <w:lang w:val="ru-RU"/>
        </w:rPr>
        <w:t>. Сопоставление фильтрованной условной волатильности со скользящей оценкой стандартного отклонения показывает, что восстановленное скрытое состояние корректно реагирует на периоды повышенной рыночной активности и последующего возврата к более спокойному режиму. Это придаёт модели не только прогностическую, но и интерпретационную ценность.</w:t>
      </w:r>
    </w:p>
    <w:p w:rsidR="00142861" w:rsidRDefault="00142861" w:rsidP="00142861">
      <w:pPr>
        <w:spacing w:before="160" w:after="160"/>
        <w:jc w:val="center"/>
      </w:pPr>
      <w:r>
        <w:rPr>
          <w:noProof/>
        </w:rPr>
        <w:drawing>
          <wp:inline distT="0" distB="0" distL="0" distR="0" wp14:anchorId="726AD658" wp14:editId="07ADE81B">
            <wp:extent cx="4930588" cy="239541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msft_test_compa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117" cy="245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48" w:rsidRPr="006F0DAF" w:rsidRDefault="00142861" w:rsidP="00142861">
      <w:pPr>
        <w:spacing w:after="0" w:line="240" w:lineRule="auto"/>
        <w:jc w:val="center"/>
        <w:rPr>
          <w:lang w:val="ru-RU"/>
        </w:rPr>
      </w:pPr>
      <w:r w:rsidRPr="009D3594">
        <w:rPr>
          <w:lang w:val="ru-RU"/>
        </w:rPr>
        <w:t xml:space="preserve">Рис. 3. Фактическая цена закрытия </w:t>
      </w:r>
      <w:r>
        <w:t>MSFT</w:t>
      </w:r>
      <w:r w:rsidRPr="009D3594">
        <w:rPr>
          <w:lang w:val="ru-RU"/>
        </w:rPr>
        <w:t xml:space="preserve"> и прогнозы базовой и гибридной моделей на тестовом участке.</w:t>
      </w:r>
    </w:p>
    <w:p w:rsidR="00DF6C53" w:rsidRDefault="00000000" w:rsidP="00980C48">
      <w:pPr>
        <w:spacing w:after="0" w:line="240" w:lineRule="auto"/>
        <w:jc w:val="center"/>
      </w:pPr>
      <w:proofErr w:type="spellStart"/>
      <w:r>
        <w:lastRenderedPageBreak/>
        <w:t>Список</w:t>
      </w:r>
      <w:proofErr w:type="spellEnd"/>
      <w:r>
        <w:t xml:space="preserve"> </w:t>
      </w:r>
      <w:proofErr w:type="spellStart"/>
      <w:r>
        <w:t>литературы</w:t>
      </w:r>
      <w:proofErr w:type="spellEnd"/>
    </w:p>
    <w:p w:rsidR="00DF6C53" w:rsidRDefault="00000000" w:rsidP="00980C48">
      <w:pPr>
        <w:spacing w:after="0" w:line="240" w:lineRule="auto"/>
        <w:jc w:val="both"/>
      </w:pPr>
      <w:r>
        <w:t>1. Tsay R.S. Analysis of Financial Time Series. 3rd ed. Hoboken: Wiley, 2010. 715 p.</w:t>
      </w:r>
    </w:p>
    <w:p w:rsidR="00DF6C53" w:rsidRDefault="00000000">
      <w:pPr>
        <w:spacing w:after="0" w:line="240" w:lineRule="auto"/>
        <w:jc w:val="both"/>
      </w:pPr>
      <w:r>
        <w:t>2. Durbin J., Koopman S.J. Time Series Analysis by State Space Methods. 2nd ed. Oxford: Oxford University Press, 2012. 372 p.</w:t>
      </w:r>
    </w:p>
    <w:p w:rsidR="00DF6C53" w:rsidRDefault="00000000">
      <w:pPr>
        <w:spacing w:after="0" w:line="240" w:lineRule="auto"/>
        <w:jc w:val="both"/>
      </w:pPr>
      <w:r>
        <w:t>3. Taylor S.J. Financial returns modelled by the product of two stochastic processes — a study of daily sugar prices 1961-79 // Time Series Analysis: Theory and Practice. 1982. Vol. 1. P. 203-226.</w:t>
      </w:r>
    </w:p>
    <w:p w:rsidR="00DF6C53" w:rsidRDefault="00000000">
      <w:pPr>
        <w:spacing w:after="0" w:line="240" w:lineRule="auto"/>
        <w:jc w:val="both"/>
      </w:pPr>
      <w:r>
        <w:t>4. Grewal M.S., Andrews A.P. Kalman Filtering: Theory and Practice with MATLAB. 4th ed. New York: John Wiley &amp; Sons, 2015. 640 p.</w:t>
      </w:r>
    </w:p>
    <w:p w:rsidR="00DF6C53" w:rsidRDefault="00000000">
      <w:pPr>
        <w:spacing w:after="0" w:line="240" w:lineRule="auto"/>
        <w:jc w:val="both"/>
      </w:pPr>
      <w:r>
        <w:t>5. Hochreiter S., Schmidhuber J. Long short-term memory // Neural Computation. 1997. Vol. 9. No. 8. P. 1735-1780.</w:t>
      </w:r>
    </w:p>
    <w:sectPr w:rsidR="00DF6C53" w:rsidSect="00034616"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621338">
    <w:abstractNumId w:val="8"/>
  </w:num>
  <w:num w:numId="2" w16cid:durableId="962735027">
    <w:abstractNumId w:val="6"/>
  </w:num>
  <w:num w:numId="3" w16cid:durableId="501237435">
    <w:abstractNumId w:val="5"/>
  </w:num>
  <w:num w:numId="4" w16cid:durableId="181093579">
    <w:abstractNumId w:val="4"/>
  </w:num>
  <w:num w:numId="5" w16cid:durableId="1602646331">
    <w:abstractNumId w:val="7"/>
  </w:num>
  <w:num w:numId="6" w16cid:durableId="1687249592">
    <w:abstractNumId w:val="3"/>
  </w:num>
  <w:num w:numId="7" w16cid:durableId="390881505">
    <w:abstractNumId w:val="2"/>
  </w:num>
  <w:num w:numId="8" w16cid:durableId="368798580">
    <w:abstractNumId w:val="1"/>
  </w:num>
  <w:num w:numId="9" w16cid:durableId="16500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861"/>
    <w:rsid w:val="0015074B"/>
    <w:rsid w:val="0029639D"/>
    <w:rsid w:val="00326F90"/>
    <w:rsid w:val="005942CB"/>
    <w:rsid w:val="006F0DAF"/>
    <w:rsid w:val="00980C48"/>
    <w:rsid w:val="009D3594"/>
    <w:rsid w:val="00AA1D8D"/>
    <w:rsid w:val="00B47730"/>
    <w:rsid w:val="00CB0664"/>
    <w:rsid w:val="00DF6C53"/>
    <w:rsid w:val="00F023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432FA"/>
  <w14:defaultImageDpi w14:val="300"/>
  <w15:docId w15:val="{74C2E775-0BDB-294E-8872-9C85B050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Денис Парфиров</cp:lastModifiedBy>
  <cp:revision>4</cp:revision>
  <dcterms:created xsi:type="dcterms:W3CDTF">2026-04-06T18:44:00Z</dcterms:created>
  <dcterms:modified xsi:type="dcterms:W3CDTF">2026-04-06T19:01:00Z</dcterms:modified>
  <cp:category/>
</cp:coreProperties>
</file>